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and Invoicing</w:t>
            </w:r>
          </w:p>
          <w:p w14:paraId="6071B59E" w14:textId="77777777" w:rsidR="00A62A3E" w:rsidRDefault="00000000">
            <w:pPr>
              <w:spacing w:after="180"/>
            </w:pPr>
            <w:r>
              <w:rPr>
                <w:color w:val="FFFFFF"/>
                <w:sz w:val="20"/>
              </w:rPr>
              <w:t>XVision Systems | Receivables, lists, receipts and settings</w:t>
            </w:r>
          </w:p>
          <w:p w14:paraId="05516311" w14:textId="77777777" w:rsidR="00A62A3E" w:rsidRDefault="00000000">
            <w:pPr>
              <w:spacing w:after="0"/>
            </w:pPr>
            <w:r>
              <w:rPr>
                <w:b/>
                <w:color w:val="FFFFFF"/>
                <w:sz w:val="19"/>
              </w:rPr>
              <w:t>Prepared by: CodeX Team    Version: 1.14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M17</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1.14</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24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working tree at 24 October 2026: Area B Field Access. Local FinPro changes are verified separately. No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2.113</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2"/>
        <w:keepNext/>
        <w:pBdr>
          <w:bottom w:val="single" w:sz="8" w:space="5" w:color="355B9D"/>
        </w:pBdr>
      </w:pPr>
      <w:r>
        <w:t xml:space="preserve">FR-015  Calculate the School Subscription Charge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The platform subscription charge must use the school's saved per-student agreement and the number of ACTIVE students on the billing date, preserving the quantity and rate as a charge snapshot before any invoice is created.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calculate_subscription_charge validates that the subscription is active and the billing date is within its start and expiry dates, counts Student rows in ACTIVE status in the school's tenant, applies the greater of that count and the agreed minimum, and returns the date, active count, billable count, saved minor-unit rate and amount. An amount of zero declares that no invoice should be raised.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Bright Star on Basic with 120 ACTIVE students produces a NGN 420,000 snapshot at NGN 3,500 each. Enrolled but unplaced, suspended and former students do not count. A newly registered school with no ACTIVE students and a zero minimum produces amount zero and should_invoice false. A later catalogue edit does not change the school's saved rate.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No recurring scheduler or invoice-writing service consumes this snapshot yet. This revision deliberately does not create an invoice at school registration.</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 receivables: </w:t>
      </w:r>
      <w:r>
        <w:t>When a pupil moves branch, their customer account and open balance move through the finance abstraction layer. A voided move frees its idempotency key, so a later valid move can stand.</w:t>
      </w:r>
    </w:p>
    <w:p>
      <w:pPr>
        <w:keepLines/>
      </w:pPr>
      <w:r>
        <w:t xml:space="preserve">• </w:t>
      </w:r>
      <w:r>
        <w:rPr>
          <w:b/>
        </w:rPr>
        <w:t xml:space="preserve">Credits on moved bills: </w:t>
      </w:r>
      <w:r>
        <w:t>A credit on a moved bill reduces the income and output tax of the branch that booked them, with inter-branch settlement where another branch now holds the debt.</w:t>
      </w:r>
    </w:p>
    <w:p>
      <w:pPr>
        <w:keepLines/>
      </w:pPr>
      <w:r>
        <w:t xml:space="preserve">• </w:t>
      </w:r>
      <w:r>
        <w:rPr>
          <w:b/>
        </w:rPr>
        <w:t xml:space="preserve">Payer accounts: </w:t>
      </w:r>
      <w:r>
        <w:t>Cohort fee runs skip payer-only customer accounts. Guardian-to-payer linking remains a schools-layer responsibility and is not yet built.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Desk collections may name an invoice or customer and return the payer to the school application, never to the staff console.</w:t>
      </w:r>
    </w:p>
    <w:p>
      <w:pPr>
        <w:spacing w:after="60"/>
      </w:pPr>
      <w:r>
        <w:t>• Invoice and receivable fields follow their registered Field Access controls on screens, exports and approval cards.</w:t>
      </w:r>
    </w:p>
    <w:p>
      <w:pPr>
        <w:spacing w:after="60"/>
      </w:pPr>
      <w:r>
        <w:t>• The finance abstraction layer supplies Gradebook fee holds with each debtor's balance and oldest unpaid date; it remains the only school-to-finance boundary.</w:t>
      </w:r>
    </w:p>
    <w:p>
      <w:pPr>
        <w:pStyle w:val="Heading1"/>
        <w:keepNext/>
        <w:pBdr>
          <w:bottom w:val="single" w:sz="14" w:space="5" w:color="355B9D"/>
        </w:pBdr>
      </w:pPr>
      <w:r>
        <w:t>Current Contracts at 19 October 2026</w:t>
      </w:r>
    </w:p>
    <w:p>
      <w:r>
        <w:t>Every finance document list accepts a reachable branch or the unassigned value and either a fiscal-year label or an inclusive open-ended date range. A fiscal year and dates together, malformed or reversed dates, unknown years and unreachable branches are refused. A named period may show archived rows; the default keeps archived years out while retaining still-owed bills.</w:t>
      </w:r>
    </w:p>
    <w:p>
      <w:r>
        <w:t>The invoice, receipt, dunning and write-off figures follow the same branch boundary. Dunning ages what is owed today and therefore follows branch only. Receipt balance-after values are frozen at posting so a historical receipt does not print today’s balance.</w:t>
      </w:r>
    </w:p>
    <w:p>
      <w:r>
        <w:t>Finance settings now expose every value through its own Field Access Read and Write switch. Banking defaults, account mappings, document defaults, the fiscal calendar, payroll policy and retention participate in screen, consumer, history and audit filtering.</w:t>
      </w:r>
    </w:p>
    <w:p>
      <w:pPr>
        <w:pStyle w:val="Heading1"/>
      </w:pPr>
      <w:r>
        <w:t>Current Contracts at 24 October 2026</w:t>
      </w:r>
    </w:p>
    <w:p>
      <w:pPr/>
      <w:r>
        <w:t>Invoices expose separate controls for dates, status, totals, settlements, reference, narration, currency, lines, unit price, history and summary figures. A paid or outstanding figure needs both invoice total and settlement access. Receipt-derived detail and monthly collection figures follow the receipt amount switch, and ledger lines follow the journal line switch.</w:t>
      </w:r>
    </w:p>
    <w:p>
      <w:pPr/>
      <w:r>
        <w:t>Payment plans control their invoice, schedule, amount, notes and progress separately. Invoice-linked progress follows the invoice settlement switch. Hidden fields disappear from FinPro lists, detail and creation forms; read-only values are not submitted.</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v2.113.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r>
        <w:tc>
          <w:tcPr>
            <w:tcW w:type="dxa" w:w="6000"/>
          </w:tcPr>
          <w:p>
            <w:r>
              <w:t>Per-active-student platform subscription charge snapshot</w:t>
            </w:r>
          </w:p>
        </w:tc>
        <w:tc>
          <w:tcPr>
            <w:tcW w:type="dxa" w:w="4468"/>
          </w:tcPr>
          <w:p>
            <w:r>
              <w:t>FR-015</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1.14</w:t>
            </w:r>
          </w:p>
        </w:tc>
        <w:tc>
          <w:tcPr>
            <w:tcW w:type="dxa" w:w="1600"/>
          </w:tcPr>
          <w:p>
            <w:r>
              <w:t>24 October 2026</w:t>
            </w:r>
          </w:p>
        </w:tc>
        <w:tc>
          <w:tcPr>
            <w:tcW w:type="dxa" w:w="7668"/>
          </w:tcPr>
          <w:p>
            <w:r>
              <w:t>Invoices and payment plans gain field-level Read and Write controls on lists, detail, creation, summaries and exports. Receipt-derived figures and histories follow their source switches. Aligns with MRD v2.113.</w:t>
            </w:r>
          </w:p>
        </w:tc>
      </w:tr>
      <w:tr>
        <w:tc>
          <w:tcPr>
            <w:tcW w:type="dxa" w:w="1200"/>
          </w:tcPr>
          <w:p>
            <w:r>
              <w:t>1.13</w:t>
            </w:r>
          </w:p>
        </w:tc>
        <w:tc>
          <w:tcPr>
            <w:tcW w:type="dxa" w:w="1600"/>
          </w:tcPr>
          <w:p>
            <w:r>
              <w:t>19 October 2026</w:t>
            </w:r>
          </w:p>
        </w:tc>
        <w:tc>
          <w:tcPr>
            <w:tcW w:type="dxa" w:w="7668"/>
          </w:tcPr>
          <w:p>
            <w:r>
              <w:t>Adds shared branch and period scope, frozen receipt balances and Finance-settings Field Access.</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1.11</w:t>
            </w:r>
          </w:p>
        </w:tc>
        <w:tc>
          <w:tcPr>
            <w:tcW w:type="dxa" w:w="1600"/>
          </w:tcPr>
          <w:p>
            <w:r>
              <w:t>10 October 2026</w:t>
            </w:r>
          </w:p>
        </w:tc>
        <w:tc>
          <w:tcPr>
            <w:tcW w:type="dxa" w:w="7668"/>
          </w:tcPr>
          <w:p>
            <w:r>
              <w:t>Adds FR-015 for the platform subscription charge snapshot, ACTIVE-student count, agreed minimum, saved rate and zero-charge no-invoice decision. Automatic recurring invoice creation remains a current limit.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