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2.113</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24 October 2026: Area B Field Access. Local FinPro changes are verified separately. No deployment or production adoption is inferred.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Documented by M01 FRD v1.35.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Documented by M03 FRD v1.24.1.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Documented by M04 FRD v1.38.</w:t>
      </w:r>
      <w:r/>
      <w:r>
        <w:t xml:space="preserve"> The finance budget resource has eight registered field decisions, including a sensitive planned amount. The report resource has seventeen read-only statement-section decisions. Hidden aliases are removed from nested and alternate payloads.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Documented by M06 FRD v1.11.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Documented by M07 FRD v1.27.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Documented by M12 FRD v2.21.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Documented by M19 FRD v1.21.</w:t>
      </w:r>
      <w:r>
        <w:t xml:space="preserve"> Budget names, coordinates, planned amounts, actuals and variance now follow separate Field Access decisions across lists, details, dashboards and exports. Financial statements and exports follow their section switches; a statutory pack refuses a missing section.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v1.22.</w:t>
      </w:r>
      <w:r>
        <w:t xml:space="preserve"> Budget availability and supplier plan summaries omit budget names and figures the reader may not read, while procurement commitments remain independently visible.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Documented by M27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Documented by M28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remaining ledger records 344 switches and open product decisions; it remains current work.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pPr>
        <w:pStyle w:val="Heading1"/>
      </w:pPr>
      <w:r>
        <w:t>6.6 24 October 2026 Field Access Contracts</w:t>
      </w:r>
    </w:p>
    <w:p>
      <w:pPr/>
      <w:r>
        <w:t>Area B Field Access is registered for invoices, credit notes, refunds, concessions, write-offs, credit transfers, payment plans, accounts, cost centres, journals, bank statements, reconciliations and finance setup values. Sensitive customer source references and statement balances ship closed. The refund bank-account choice has separate Read and Write control; branch reach still limits available accounts.</w:t>
      </w:r>
    </w:p>
    <w:p>
      <w:pPr/>
      <w:r>
        <w:t>Invoice and ledger export columns, filters and searches follow the same switches as screens. A value built from more than one protected field requires every governing Read switch. These controls deepen existing capabilities, so the count remains 527.</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B Field Access registers 103 receivables, journal, setup and banking switches. Invoice and ledger exports follow those switches, including values that need two. The refund bank-account choice has its own switch. Capability count and module states are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2.111</cp:version>
</cp:coreProperties>
</file>