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1.7</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27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e12e7fbf, which carries the client IP address decided once (15d9ac3d), 27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v2.93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before state, a field-level diff, and free-form metadata such as the client IP address, agent and correlation ids.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notification settings and templates,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One narrow reader sits outside those keys: a school staff record's history reads that person's account events under school.teachers.view, returning the event, its time, the actor and an email change's note and nothing else (FR-018).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101 actions across generic writes, identity, import, RBAC, proxy sessions, the Export Centre, school onboarding, academic structure and the timetable, Field Access,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 and so have FIELD_ACCESS_CHANGED, FIELD_ACCESS_RESET, FIELD_OVERRIDE_CREATED, FIELD_OVERRIDE_LIFTED and FIELD_REGISTRY_SYNCED (vs_audit 0016). record_rbac_audit refuses a type the vocabulary does not hold before writing its durable row, and permission-group create, update and delete are recorded as CREATE, UPDATE and DELETE on entity_type permission_group rather than as dotted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 LiteralActionTypesAreRegisteredTests scans every module outside tests and migrations for a string passed as action_type to emit_audit_event or record_rbac_audit, and fails on one the vocabulary does not hold; RecordRbacAuditRefusesUnknownTypesTests proves an unregistered RBAC type raises and writes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at the model is still silent: the helper swallows its own failures, so an unregistered type that reaches it produces no event and no error at the call site. Two checks stand in front of it, the source scan and record_rbac_audit's refusal, and a type computed at run time rather than written as a literal passes the first. POSTED_WITHOUT_APPROVAL and the five Field Access types show the cost: each was emitted before it was registered, and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refuses any instance loaded from the database, and a new instance carrying an existing primary key is refused by the primary key itself, so no lookup is made on insert,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2"/>
        <w:keepNext/>
        <w:pBdr>
          <w:bottom w:val="single" w:sz="8" w:space="5" w:color="355B9D"/>
        </w:pBdr>
      </w:pPr>
      <w:r>
        <w:t>FR-018  Let a Staff Record's History Read One Person's Account Events Under Its Own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profile shows one person's account events beside their employment events. No school role holds platform.audit.view, and none should, so that slice must be readable under the staff module's own key, and it must carry no more of the event than the history needs.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schools.vs_staff.views.lifecycle._account_events reads AuditEvent rows filtered to the view's tenant, entity_type User, entity_id the person's account, and metadata.auth_event in a fixed list of account events (sign-ins are left out). It runs behind school.teachers.view and the staff record's own tenant and branch scoping, and an as_at read cuts the rows at the end of that day. Each entry carries the event, its label, its time, the actor's id and display name, and, on an email change, the administrator's note. The addresses, IP address and agent in the metadata are not returned.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an email change shows on the history with its note and actor, and neither address appears anywhere in the response; a pending account's reissued invitation shows as INVITATION_SENT; another school's account events never reach this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slice is one module's reader with its own copy of which events count, not a vs_audit surface; the event list lives in the staff view. A school reads its own person's account events this way whether or not it holds any audit key, which is the point, and the Event Explorer's own gate is unchanged.</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Seventeen surfaces write through emit_audit_event. Four of them keep their own authoritative log and treat this stream as a mirror; for the other thirteen this stream is the only record of most of what they emit. Every one of the seventeen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Sign-in success and failure, lockout and unlock, suspension and reactivation, forced logout, token revocation, password reset and change, email change, account activation. No second log: the AuthEventLog table that once shadowed it is dropped by vs_user migration 0015, and the event names are vs_user.auth_events.AuthEvent. An email change carries the administrator's note when one is given. The client IP address in metadata is the one core.client_ip decides for the request (Module 3 FR-026), never a forwarding header.</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Permission created or deactivated, dependency added or removed, group permission added or removed, permission module, resource and action lifecycle, tenant role assignment, role template, role group attach and detach, role change request, and the five Field Access actions. An action type the vocabulary does not hold is refused before either row is written.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M8 Notifications &amp; Delivery (vs_notifications.services.audit)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notification setting changed at the platform, a tenant or a branch layer, one event per event type and channel whose stored value changed, and a template created or edited with its changed columns before and after, as CONFIG_CHANGED under the CONFIG module. Resending a stored value, or an edit that changes nothing, records nothing. No second log: the row keeps only who changed it last and when.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for a setting, passed by the caller, and none at the platform layer; a template, which is global, takes the request's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Thirteen Export Centre actions including definition lifecycle, sharing, scheduling, downloads, refusals, expiry and, at WARNING severity, any run that included a restricted field.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Every literal action type handed to emit_audit_event or record_rbac_audit is registered, by a scan of the source, and record_rbac_audit refuses an unregistered one and writes nothing.</w:t>
      </w:r>
    </w:p>
    <w:p>
      <w:pPr>
        <w:spacing w:after="60"/>
      </w:pPr>
      <w:r>
        <w:t>•  A notification setting or template change writes one CONFIG_CHANGED event per real change and none for a resend that changes nothing (NotificationChangeAuditTests).</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thirteen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Nothing here is history. Every item above is the current state of the code at e12e7fbf.</w:t>
            </w:r>
          </w:p>
        </w:tc>
      </w:tr>
    </w:tbl>
    <w:p>
      <w:pPr>
        <w:pStyle w:val="Heading1"/>
        <w:keepNext/>
        <w:pBdr>
          <w:bottom w:val="single" w:sz="14" w:space="5" w:color="355B9D"/>
        </w:pBdr>
      </w:pPr>
      <w:r>
        <w:t xml:space="preserve">10. MRD Traceability</w:t>
      </w:r>
    </w:p>
    <w:p>
      <w:pPr>
        <w:spacing w:after="120"/>
      </w:pPr>
      <w:r>
        <w:t>MRD v2.93 records Module 5 as Phase V1, Backend Complete, In use Complete, with fourteen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FR-007, FR-011, FR-018</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 A school staff record's history reads that one person's account events under school.teachers.view, inside the tenant, returning the event, time, actor and an email change's note and no other metadata (FR-018).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Metadata is captured and stored, and exposed unredacted on the detail route. The client IP address in it is one the caller could not choose.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v2.93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101 action types, 17 module keys and seventeen writing surfaces.</w:t>
            </w:r>
          </w:p>
          <w:p>
            <w:pPr>
              <w:keepNext/>
              <w:spacing w:after="40"/>
            </w:pPr>
            <w:r>
              <w:rPr>
                <w:b/>
                <w:color w:val="94670A"/>
                <w:sz w:val="17"/>
              </w:rPr>
              <w:t>•  Record history, read as at an earlier day, is a new entry mapped to FR-017, taking the count to fourteen. A staff record's account history (FR-018) is one person's trail read under the staff module's key, so it maps to the entity-level audit trails entry and the table holds one row per entry. The two documents agree on the trail's tenant confinement and remain versioned separately,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1.7</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27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The five Field Access action types are registered (vs_audit 0016), so a switch changed or reset, a personal exception created or lifted and the field catalogue sync reach this stream instead of being dropped: the Needs Attention item for FIELD_REGISTRY_SYNCED is removed and the vocabulary is recounted at 101 action types. record_rbac_audit refuses an unregistered type and a source scan fails on an unregistered literal, so FR-002's limit narrows to a type computed at run time. Notification settings and template changes are recorded as CONFIG_CHANGED with no second log, making seventeen writing surfaces, thirteen of them with this stream as their only record. Where the client IP address in an event's metadata comes from is stated: core.client_ip, never a forwarding header. FR-005 stops describing a lookup AuditEvent.save no longer makes. The reconciliation names MRD v2.93. The traceability table holds one row per entry, fourteen: a staff record's account history (FR-018) had a second row under the visibility controls label and is mapped to entity-level audit trails, and the record history entry takes the MRD's wording. Evidence: the vocabulary guards were verified by their commit's runs (vs_audit 96 and vs_rbac 868 tests), the notification audit by vs_notifications (189), and the client-address tests ran at a5bae05e (core 20, vs_user 3,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1.6</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Adds FR-018: a school staff record's history reads one person's account events from this trail under school.teachers.view, inside the tenant and a fixed event list, returning the event, time, actor and an email change's note and no other metadata. It read vs_user.AuthEventLog, which nothing outside the dev seeder wrote, so every school's account history was empty. Records that AuthEventLog is dropped (vs_user 0015), leaving this trail the only record of identity events. Section 2.2, the Module 3 emitter row and one traceability row are updated.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v1.7</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v1.7</dc:title>
  <cp:lastModifiedBy>Chidera Ohiaekpete</cp:lastModifiedBy>
  <cp:revision>1</cp:revision>
  <cp:lastPrinted>2026-07-17T18:03:00Z</cp:lastPrinted>
  <dcterms:created xsi:type="dcterms:W3CDTF">2026-07-17T18:03:00Z</dcterms:created>
  <dcterms:modified xsi:type="dcterms:W3CDTF">2026-08-19T12:00:00Z</dcterms:modified>
  <cp:version>1.7</cp:version>
</cp:coreProperties>
</file>