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19: Finance &amp; Accounting</w:t>
              <w:br/>
              <w:t>XVision Systems | Code-aligned functional baseline</w:t>
              <w:br/>
              <w:t>Prepared by: CodeX Team     Version: 1.12</w:t>
            </w:r>
          </w:p>
          <w:p w14:paraId="4FAAA466" w14:textId="77777777" w:rsidR="00A62A3E" w:rsidRDefault="00000000">
            <w:pPr>
              <w:spacing w:after="100"/>
            </w:pPr>
            <w:r>
              <w:rPr>
                <w:rFonts w:ascii="Aptos Display" w:hAnsi="Aptos Display"/>
                <w:b/>
                <w:color w:val="FFFFFF"/>
                <w:sz w:val="28"/>
              </w:rPr>
            </w:r>
          </w:p>
          <w:p w14:paraId="6071B59E" w14:textId="77777777" w:rsidR="00A62A3E" w:rsidRDefault="00000000">
            <w:pPr>
              <w:spacing w:after="180"/>
            </w:pPr>
            <w:r>
              <w:rPr>
                <w:color w:val="FFFFFF"/>
                <w:sz w:val="20"/>
              </w:rPr>
            </w:r>
          </w:p>
          <w:p w14:paraId="05516311" w14:textId="77777777" w:rsidR="00A62A3E" w:rsidRDefault="00000000">
            <w:pPr>
              <w:spacing w:after="0"/>
            </w:pPr>
            <w:r>
              <w:rPr>
                <w:b/>
                <w:color w:val="FFFFFF"/>
                <w:sz w:val="19"/>
              </w:rPr>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1.12</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28 September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main at 7860ea86, 28 September 2026, carrying the branch bank ledgers (0c59e23d, merged at 864468ba), the finance pass (merge 32194627: bank reach 61836114, 966e5770, 1fb5bec5 and 07baab0a; empty-route confirmation d7a700a8 and 88873c1c; dashboards 4af5d331 and d6260eec) and the statement rollback (a8e0e4d0, d51ccc97, e1f42256)</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v2.94</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statements as one filing pack, for a whole-school reader 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v2.94.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bl>
    <w:p w:rsidR="00A62A3E" w:rsidRDefault="00000000">
      <w:pPr>
        <w:keepLines/>
        <w:spacing w:after="120"/>
      </w:pPr>
      <w:r>
        <w:t>All 26 entries are traced above. Module number, name, phase, backend and in-use states and code ownership agree with MRD v2.94,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v1.12</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1.12</cp:version>
</cp:coreProperties>
</file>