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M30 | System Health &amp; Monitoring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27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7f3756e2, 27 September 2026; configuration-fault incidents at fa23e06d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v2.93 | Module 30</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vs_health</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vs_user, vs_notifications, vs_config; configuration faults reported by schools.core.fal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Monitoring ownership, included signals, and boundaries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Telemetry flow, platform scope, and state vocabulary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manage, evaluate, and receive alarms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Collection, probing, alerting, delivery, and recovery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telemetry, configuration, incidents, and objectives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filters, ranges,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broker, database, RBAC, notification, and probes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backend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Module 30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Configuration-fault incidents that another module reports when a data arrangement is wrong: one unresolved incident per fault, with no alert rule, metric or threshold behind it.</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cantSplit/>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 authentication and permission vocabulary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and Module 4. Health consumes active-user and RBAC decisions.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transport and in-app inbox</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business outcomes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webhook authenticity or replay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Frontend console implementation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consuming application. This FRD proves backend contracts only.</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uptime provider guarantees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configured network, SMTP, certificate, database, Redis, and HTTP targets.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Deciding that a configuration is wrong</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whose rule it is. The school finance layer reports a school holding two sets of books; Health records the incident and never reads school data.</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four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 Other modules report configuration faults, which open incidents directly (FR-016).</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82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healthy</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inside the configured warning and critical bands.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warning</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degraded or approaching a configured limit.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critical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crosses a critical threshold or a probe fails.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unknown</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honest conclusion is available, including an insufficient request sample.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operational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CURRENT MODULE DECISION</w:t>
              <w:br/>
              <w:t>The notification has no dedicated frontend incident page. Automatic clear therefore happens only when the incident detail API is read; the Health index acknowledges nothing.</w:t>
            </w:r>
          </w:p>
          <w:p>
            <w:pPr>
              <w:spacing w:before="0" w:after="40" w:line="240" w:lineRule="auto"/>
              <w:numPr>
                <w:ilvl w:val="0"/>
                <w:numId w:val="1"/>
              </w:numPr>
            </w:pPr>
            <w:r>
              <w:rPr>
                <w:rFonts w:ascii="Aptos Narrow" w:hAnsi="Aptos Narrow"/>
                <w:b w:val="0"/>
                <w:color w:val="000000"/>
                <w:sz w:val="17"/>
              </w:rPr>
              <w:t>Module 30 remains Backend Complete and In use Complete in MRD v2.93. This is evidence alignment, not a claim of deployment.</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p>
            <w:pPr>
              <w:spacing w:before="0" w:after="40" w:line="240" w:lineRule="auto"/>
              <w:numPr>
                <w:ilvl w:val="0"/>
                <w:numId w:val="1"/>
              </w:numPr>
            </w:pPr>
            <w:r>
              <w:rPr>
                <w:rFonts w:ascii="Aptos Narrow" w:hAnsi="Aptos Narrow"/>
                <w:b w:val="0"/>
                <w:color w:val="000000"/>
                <w:sz w:val="17"/>
              </w:rPr>
              <w:t>A configuration fault opens an incident with no alert or rule behind it. It reaches the console only, sends no notification, and stays open until an operator resolves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 or contract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viewer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every Health analytics and detail surface.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platform.health.view.</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manager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platform.health.create or platform.health.update, according to the method.</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middleware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Best-effort internal instrumentation;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scheduler and configured broker/worker runtime.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Configuration-fault reporter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one incident for a configuration fault its own module has found.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call to vs_health.faults.report_configuration_fault;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alarm recipient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in-app and email alarm records.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user whose effective grants include platform.health.update, the authority that maintains incidents and alert rules.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dependency</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an HTTP, TCP, Redis, PostgreSQL, or TLS probe.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GET and list operations</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 and selected monitored services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incident event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incident UUID</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alert rule</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rule registry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deployment annotation</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deployment timeline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a fired Health alarm</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 platform.health.update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recipients only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configuration-fault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an internal service call, not reachable from the API</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 A configuration fault reaches Health through vs_health.faults, which takes neutral strings and a fault key, never a school.</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 A successful scoped incident detail read acknowledges the operator's matching unread in-app alert notice.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 The incident read clears only the caller's matching notice. Another operator's row and another incident stay unread.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platform.health.update must receive both an in-app notification and an email record.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Health view requires an active authenticated user and platform.health.view or platform.health.create or platform.health.update, according to the method. requested_tenant resolves for_tenant separately from the authentication tenant parameter, rejects unknown targets, and analytics queries filter RequestMetric.</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pPr>
        <w:pStyle w:val="Heading2"/>
        <w:spacing w:before="220" w:after="120" w:line="240" w:lineRule="auto"/>
        <w:keepNext/>
        <w:pBdr>
          <w:bottom w:val="single" w:sz="8" w:space="5" w:color="355B9D"/>
        </w:pBdr>
      </w:pPr>
      <w:r>
        <w:rPr>
          <w:rFonts w:ascii="Aptos Narrow" w:hAnsi="Aptos Narrow"/>
          <w:b/>
          <w:color w:val="000000"/>
          <w:sz w:val="27"/>
        </w:rPr>
        <w:t>FR-016  Open One Incident per Configuration 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fault found outside the alert engine, such as a school whose books cannot name one primary entity, must reach an operator who can fix it, as exactly one incident however many requests meet it, rather than a logged 500 seen only by a bursar who cannot act on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vs_health.faults.report_configuration_fault opens an automatic incident, INVESTIGATING, at the caller's severity, owner label Configuration check and team Platform, with the summary as its opening timeline note, unless an unresolved incident already carries the same Incident.fault_key. The key names one subject's fault, not the class of fault, and is matched exactly; it is indexed and returned by no serializer, so renaming or re-triaging the incident cannot break the match. The school finance layer is the first reporter: AmbiguousPrimaryEntity, raised when a school holds more than one active tenant-kind ledger entity, is reported at SEV2 under fal.ambiguous-primary-entity.tenant-&lt;id&gt;, naming the school and what to do, and the refusal still answers 500. A fault incident is listed, counted as active on the overview and included in reliability like any other incident.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 that raises three times opens exactly one incident, and two broken schools open one each. A repeat writes neither an incident nor a timeline entry. Resolving lets the next occurrence open a fresh incident. An operator or alert-driven incident, whose key is blank, never satisfies a fault's match, and a blank key is refused. Provisioning reports outside its own transaction, so the incident survives the rollback. A failing reporter changes neither the error nor its message (tests_faults, 8 tests; test_ambiguous_entity_reporting, 13 tests).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fault incident has no alert or rule behind it and sends no notification: it reaches the Health console only, because no configuration-fault event is registered in Module 8. It does not resolve itself when the arrangement is corrected, unlike an alert-driven incident; an operator resolves it. Two requests arriving together can each open 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rule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Measurement never changes request routing or authorization.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Concurrent workers add to one canonical aggregate row.</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Task</w:t>
            </w:r>
          </w:p>
        </w:tc>
        <w:tc>
          <w:tcPr>
            <w:tcW w:type="dxa" w:w="49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Outcome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Capture queue snapshot</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Queue depth, task outcomes, worker capacity, and trend row</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alert rules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Breach state, alert and incident lifecycle, and first-fire delivery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five minutes</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uptime checks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Stored probe result and refreshed service or route-group status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Hourly at :15</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Roll up uptime</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uptime percentage, failures, worst status, and response average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at 03:00</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Prune metrics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Evaluation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does not breach or cannot be evaluated.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crosses the comparator and threshold.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breach_started_at; do not fire before duration_sec elapses.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Sustained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remains breaching for the full duration.</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Under the locked rule row, open one alert and one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First-fire delivery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active platform.health.update holders.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retry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delivery fails after the row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Repeated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firing alert still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no duplicate incident or notification.</w:t>
            </w:r>
          </w:p>
        </w:tc>
      </w:tr>
    </w:tbl>
    <w:p>
      <w:pPr>
        <w:pStyle w:val="Heading2"/>
        <w:spacing w:before="220" w:after="120" w:line="240" w:lineRule="auto"/>
        <w:keepNext/>
        <w:pBdr>
          <w:bottom w:val="single" w:sz="8" w:space="5" w:color="355B9D"/>
        </w:pBdr>
      </w:pPr>
      <w:r>
        <w:rPr>
          <w:rFonts w:ascii="Aptos Narrow" w:hAnsi="Aptos Narrow"/>
          <w:b/>
          <w:color w:val="000000"/>
          <w:sz w:val="27"/>
        </w:rPr>
        <w:t>5.4 Configuration Fault</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Condition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First report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unresolved incident carries the fault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one automatic incident, INVESTIGATING, at the caller's severity, with the opening note on its timeline.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Repeat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unresolved incident carries the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nothing and append nothing; the caller receives no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Resolved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resolves the incident.</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key stops matching, so the next occurrence opens a fresh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Reporter failure</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Reporting raises inside the detecting code.</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failure is logged and swallowed; the original refusal reaches the request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MonitoredService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operational registry and current state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key; active ordering; optional status-change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RequestMetric</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Minute route/method/tenant request aggregate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bucket tuple; bounded histogram; nullable tenant dimension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Recurring probe configuration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check type, target, interval, region, expected thresholds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UptimeCheckResult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normalized probe outcome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Status, time, code, bounded error text, and probe metadata</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UptimeDailyRollup</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Long-window availability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service/day row with total and failed checks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QueueSnapshot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Point-in-time broker and worker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Queue/time index and retry-storm state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Manual or automatic operational incident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UUID primary key and UUID-backed unique human code; fault_key, blank for operator and alert incidents, indexed and returned by no serializer</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IncidentEvent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Append-only incident timeline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Kind, actor label, text, and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AlertRule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Persisted breach start and email_and_in_app destination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or resolved instance of one rule breach</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most one firing row per rule; optional incident and service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Timeline annotation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Version, environment, kind, actor, text, and occurrence time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Availability objective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p>
            <w:pPr>
              <w:spacing w:before="0" w:after="40" w:line="240" w:lineRule="auto"/>
              <w:numPr>
                <w:ilvl w:val="0"/>
                <w:numId w:val="1"/>
              </w:numPr>
            </w:pPr>
            <w:r>
              <w:rPr>
                <w:rFonts w:ascii="Aptos Narrow" w:hAnsi="Aptos Narrow"/>
                <w:b w:val="0"/>
                <w:color w:val="000000"/>
                <w:sz w:val="17"/>
              </w:rPr>
              <w:t>A configuration-fault incident's fault key is internal: no serializer returns it, so renaming or re-triaging the incident cannot break its deduplication.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/v1/health/overview/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Worst-first active service grid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service, uptime summary, and ten recent alerts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All service uptime windows, segments, response series, and SSL data</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uptime monitor or 404</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Endpoint rows, top slow/error routes, and status-code series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/v1/health/api-endpoints/detail/?route=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route's totals, percentiles, histogram, series, and affected tenants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/v1/health/queues/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snapshots, trends, and workers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/v1/health/tasks/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Tracked jobs filtered by status, queue, kind, or for_tenant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list filtered by state or severity; configuration-fault incidents are listed like any other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/v1/health/incidents/reliability/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MTTA, MTTR, incident count, and active count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detail with timeline; acknowledges the caller's matching in-app alert notice after the scoped read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alerts by default or resolved history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Configured alert rules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alert rule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 rows and noisy-neighbour indicators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/v1/health/tenants/{tenant_id}/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tenant's golden signals, series, and endpoints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/v1/health/deployments/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annotations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/v1/health/slos/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endpoint</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manual incident; code optional; selected service keys validated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/v1/health/incidents/{id}/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incident state, ownership labels, services, narrative, and timestamps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/v1/health/incidents/{id}/events/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a validated incident timeline event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/v1/health/alert-rules/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validated rule with the mandatory email and in-app destination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/v1/health/alert-rules/{id}/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thresholds, target, duration, severity, or enabled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/v1/health/deployments/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Input</w:t>
            </w:r>
          </w:p>
        </w:tc>
        <w:tc>
          <w:tcPr>
            <w:tcW w:type="dxa" w:w="66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Failure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range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named window; unknown value falls back to 1h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unbounded scan</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start and end</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Both valid, start before end, maximum 90 days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Fall back to named range policy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for_tenant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no tenant matches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key</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monitored-service key</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 request metric target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exist in explicit request-route mapping</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unsupported service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channel</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email_and_in_app</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any other value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write permission</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platform.health.create or platform.health.update, according to the method on unsafe methods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Django middleware and resolver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PostgreSQL</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five scheduled Health tasks and deliver queued email notifications.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Redis broker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Publish platform.health.view/create/update and resolve active alarm recipients from effective grants.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 An incident has no frontend notification route, but its authorized API detail read clears the caller's matching row.</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Identity &amp; Team</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active platform user records and email addresses.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notification retry settings and runtime environment values.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HTTP, TCP, SMTP, payment, and TLS targets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core.BackgroundJob</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&amp; Accounting, school finance layer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Reports a school holding more than one active tenant-kind ledger entity (AmbiguousPrimaryEntity) through report_configuration_fault, from the envelope decorator both raise sites share and outside the provisioning transaction, so the incident survives its rollback. One incident per school; the request still answers 500.</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platform.health.update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numPr>
          <w:ilvl w:val="0"/>
          <w:numId w:val="1"/>
        </w:numPr>
        <w:spacing w:before="0" w:after="40" w:line="240" w:lineRule="auto"/>
      </w:pPr>
      <w:r>
        <w:rPr>
          <w:rFonts w:ascii="Aptos Narrow" w:hAnsi="Aptos Narrow"/>
          <w:b w:val="0"/>
          <w:color w:val="000000"/>
          <w:sz w:val="18"/>
        </w:rPr>
        <w:t>Watch the incident list for configuration faults: they send no notification, and an operator resolves each once its arrangement is corrected.</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1F7A4D"/>
              <w:left w:val="single" w:sz="9" w:color="1F7A4D"/>
              <w:bottom w:val="single" w:sz="9" w:color="1F7A4D"/>
              <w:right w:val="single" w:sz="9" w:color="1F7A4D"/>
              <w:insideH w:val="single" w:sz="9" w:color="1F7A4D"/>
              <w:insideV w:val="single" w:sz="9" w:color="1F7A4D"/>
            </w:tcBorders>
            <w:shd w:fill="E4F3EA" w:val="clear"/>
            <w:tcMar>
              <w:top w:w="100" w:type="dxa"/>
              <w:left w:w="120" w:type="dxa"/>
              <w:bottom w:w="100" w:type="dxa"/>
              <w:right w:w="120" w:type="dxa"/>
            </w:tcMar>
          </w:tcPr>
          <w:p>
            <w:pPr>
              <w:spacing w:before="0" w:after="60" w:line="240" w:lineRule="auto"/>
            </w:pPr>
            <w:r>
              <w:rPr>
                <w:rFonts w:ascii="Aptos Narrow" w:hAnsi="Aptos Narrow"/>
                <w:b/>
                <w:color w:val="1F7A4D"/>
                <w:sz w:val="18"/>
              </w:rPr>
              <w:t>INSPECTED EVIDENCE</w:t>
              <w:br/>
              <w:t>IncidentReadClearsNotificationTests covers caller ownership, incident matching and the API-only acknowledgement path.</w:t>
            </w:r>
          </w:p>
          <w:p>
            <w:pPr>
              <w:spacing w:before="0" w:after="40" w:line="240" w:lineRule="auto"/>
              <w:numPr>
                <w:ilvl w:val="0"/>
                <w:numId w:val="1"/>
              </w:numPr>
            </w:pPr>
            <w:r>
              <w:rPr>
                <w:rFonts w:ascii="Aptos Narrow" w:hAnsi="Aptos Narrow"/>
                <w:b w:val="0"/>
                <w:color w:val="000000"/>
                <w:sz w:val="17"/>
              </w:rPr>
              <w:t>Module 30 suite: 45 tests passed at fa23e06d, including collection, analytics, small-sample guards, sustained service-scoped alerting, delivery records, incident references, seeding, authentication, tenant filters and the configuration-fault rule (tests_faults, 8 tests).</w:t>
            </w:r>
          </w:p>
          <w:p>
            <w:pPr>
              <w:spacing w:before="0" w:after="40" w:line="240" w:lineRule="auto"/>
              <w:numPr>
                <w:ilvl w:val="0"/>
                <w:numId w:val="1"/>
              </w:numPr>
            </w:pPr>
            <w:r>
              <w:rPr>
                <w:rFonts w:ascii="Aptos Narrow" w:hAnsi="Aptos Narrow"/>
                <w:b w:val="0"/>
                <w:color w:val="000000"/>
                <w:sz w:val="17"/>
              </w:rPr>
              <w:t>schools.core suite: 219 tests passed at fa23e06d, 13 of them test_ambiguous_entity_reporting: one incident per school, survival of the provisioning rollback, and a failing reporter that leaves the refusal unchanged. Neither suite was rerun for this revision.</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cantSplit/>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7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Unsupported 100 percent uptime claim</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configuration fault reaches nobody's inbox</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 a configuration-fault event in Module 8 and send it to active platform.health.update holders when a fault incident opens, with a test that the first report notifies and a repeat does not.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the P1 item only after the implementation returns an honest no-data state and the relevant monitor and SLO tests pass, and the P2 item only after a configuration-fault incident notifies its recipients under test.</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v2.93. Each maps to the controlling requirements below. Configuration-fault incidents strengthen incident records and events without changing the count.</w:t>
      </w:r>
    </w:p>
    <w:tbl>
      <w:tblPr>
        <w:tblW w:type="dxa" w:w="10468"/>
        <w:jc w:val="center"/>
        <w:tblLayout w:type="fixed"/>
        <w:tblLook w:firstColumn="1" w:firstRow="1" w:lastColumn="0" w:lastRow="0" w:noHBand="0" w:noVBand="1" w:val="04A0"/>
      </w:tblPr>
      <w:tblGrid>
        <w:gridCol w:w="4824"/>
        <w:gridCol w:w="3096"/>
        <w:gridCol w:w="2548"/>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30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System-health overview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FR-003, FR-005, FR-007, FR-008,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status and history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FR-004, 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 indicators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SSL status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Tenant-filterable API request analytics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and task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 FR-010, FR-011,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records and events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FR-011, FR-013, FR-016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FR-016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Reliability summaries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FR-013,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visibility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Service-level objective tracking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Unauthenticated provider-webhook operations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Relocated operation; request health observed without payload capture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Adds FR-016: a configuration fault found outside the alert engine opens one incident. The school finance layer reports a school holding two active sets of books (AmbiguousPrimaryEntity) through vs_health.faults, from the decorator both raise sites share and outside the provisioning transaction, so the incident survives its rollback. Incident.fault_key (migration 0004) deduplicates: one unresolved incident per fault, a repeat writes nothing, not even a timeline entry, and resolving is how the next occurrence opens a fresh one. Such an incident has no alert or rule behind it, sends no notification and does not resolve itself. Scope, context, actors, workflow, data model, dependencies, Needs Attention and traceability follow, and the fired-alarm recipient is corrected to platform.health.update holders wherever the text still read create or update. Verified against backend fa23e06d, where vs_health ran 45 tests, schools.core 219 and core 161, all passing; not rerun for this revision.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Health writes into platform.health.create and platform.health.update. Fired-alert recipients resolve from active update holders, matching the authority that maintains incidents and alert rules.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successful incident detail API read clears only the caller's matching in-app alert notice. No dedicated frontend incident page exists, and the Health index clears nothing. FR-008, the read route, Module 8 dependency, current decision and evidence boundary are reconciled. Backend and committed frontend evidence only; nothing here claims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1.3</cp:version>
  <dc:title>XVS M30 System Health and Monitoring Functional Requirements Document v1.3</dc:title>
  <dc:subject>Code-aligned functional requirements for XVS Module 30</dc:subject>
  <dc:creator>CodeX Team</dc:creator>
</cp:coreProperties>
</file>