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1.24</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console worktrees separating backend-owned permission definitions from administrator-owned permission groups, 23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and console worktrees separating backend-owned permission definitions from administrator-owned permission groups, 23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v2.83's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 visible_branch_ids_for answers the same question for many people in one query, reading each person's rows through the same _scope_from_rows function the single version uses, so a screen listing other people cannot read a grant differently from the gate. EveryBranchCarryingLookupIsAccountedForTests reads every request handler's source for a lookup by an outside id on a model carrying a branch, and fails on any that neither narrows to the caller's branches nor is listed with its reason in SETTLED_ELSEWHERE; its UNNARROWED registry of known holes is empty.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and an approved role change supply grants alone, so each deletes any explicit deny on the role it touches, and the audit's before-and-after shows it going. The reach settlement is the exception: it names the role's existing denies in the same write, so a key a school denied on purpose is still denied after a revocation rather than becoming merely ungranted and returning through a group.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/rbac/vision/permission-modules/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backend-defined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/rbac/vision/permission-modules/{name}/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/rbac/vision/permission-resources/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resources within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/rbac/vision/permission-resources/{id}/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/rbac/vision/permission-actions/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/rbac/vision/permission-actions/{name}/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/rbac/vision/permissions/{key}/</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/rbac/vision/permission-dependencies/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/rbac/vision/permission-dependencies/{id}/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/rbac/vision/permission-groups/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PUT, DELETE /rbac/vision/permission-groups/{id}/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refused at creation; the creator, who does not hold the new role, may add it by editing the role afterwards.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FR-025</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v1.19 no item leaves. One is rewritten to the risk that remains: every write that settles a tenant's reach now reports the role it could not save to the operator who made the change, so what is left of that item is that nothing retries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v2.83 records Module 4 as Roles &amp; Permissions (RBAC), Phase V1, Backend Complete, In use Complete, code vs_rbac, with twenty-two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v2.83 lists Module 4 as Roles &amp; Permissions (RBAC), Phase V1, Backend Complete, In use Complete, code vs_rbac, with twenty-two capability entries. The module number, name, phase, states and ownership agree with this revision.</w:t>
              <w:br/>
              <w:t>• The count does not change. Administrator-owned group CRUD, backend dependency reconciliation and safe legacy-group retirement restate the existing permission-group, dependency and seeding capabilities.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v1.23</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v1.23</dc:title>
  <cp:lastModifiedBy>Chidera Ohiaekpete</cp:lastModifiedBy>
  <cp:revision>1</cp:revision>
  <cp:lastPrinted>2026-07-17T18:03:00Z</cp:lastPrinted>
  <dcterms:created xsi:type="dcterms:W3CDTF">2026-07-17T18:03:00Z</dcterms:created>
  <dcterms:modified xsi:type="dcterms:W3CDTF">2026-08-19T12:00:00Z</dcterms:modified>
  <cp:version>1.23</cp:version>
  <dc:subject>Module 4: Roles &amp; Permissions (RBAC)</dc:subject>
  <cp:category>Functional Requirements Document</cp:category>
  <dc:description>Code-aligned functional baseline traced from apps/vs_rbac at 899cfd7.</dc:description>
</cp:coreProperties>
</file>