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1.4</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24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worktree at 13675db, 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v2.76 | Module 5</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before state, a field-level diff, and free-form metadata such as address, agent and correlation ids.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96 actions across generic writes, identity, import, RBAC, proxy sessions, the Export Centre, school onboarding, academic structure and the timetable,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is silent. Because the helper swallows its own failures, an unregistered action type produces no event, no error at the call site and no visible trail. Registering the vocabulary ahead of the feature is a convention held by comments in models.py, not by a check. POSTED_WITHOUT_APPROVAL shows the cost: it was emitted before it was registered, and every confirmation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AuditEvent.save raises if a row with that primary key already exists,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Sixteen surfaces write through emit_audit_event. Four of them keep their own authoritative log and treat this stream as a mirror; for the other twelve this stream is the only record of most of what they emit. Every one of the sixteen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 success and failure, lockout and unlock, suspension and reactivation, forced logout, token revocation, password reset and change, email change, account activation.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Permission created or deactivated, dependency added or removed, group permission added or removed, permission module, resource and action lifecycle, tenant role assignment, role template, role group attach and detach, role change request.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Thirteen Export Centre actions including definition lifecycle, sharing, scheduling, downloads, refusals, expiry and, at WARNING severity, any run that included a restricted field.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twelve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REMOVAL RULE</w:t>
            </w:r>
          </w:p>
          <w:p>
            <w:pPr>
              <w:keepNext/>
              <w:spacing w:after="40"/>
            </w:pPr>
            <w:r>
              <w:rPr>
                <w:b/>
                <w:color w:val="94670A"/>
                <w:sz w:val="17"/>
              </w:rPr>
              <w:t xml:space="preserve">•  An item leaves Needs Attention only when implementation and relevant verification resolve it fully.</w:t>
            </w:r>
          </w:p>
          <w:p>
            <w:pPr>
              <w:keepNext/>
              <w:spacing w:after="40"/>
            </w:pPr>
            <w:r>
              <w:rPr>
                <w:b/>
                <w:color w:val="94670A"/>
                <w:sz w:val="17"/>
              </w:rPr>
              <w:t xml:space="preserve">•  An item that is partly resolved is rewritten to the risk that remains, not deleted.</w:t>
            </w:r>
          </w:p>
          <w:p>
            <w:pPr>
              <w:keepNext/>
              <w:spacing w:after="40"/>
            </w:pPr>
            <w:r>
              <w:rPr>
                <w:b/>
                <w:color w:val="94670A"/>
                <w:sz w:val="17"/>
              </w:rPr>
              <w:t>•  Nothing here is history. Every item above is the current state of the code at 13675db.</w:t>
            </w:r>
          </w:p>
        </w:tc>
      </w:tr>
    </w:tbl>
    <w:p>
      <w:pPr>
        <w:pStyle w:val="Heading1"/>
        <w:keepNext/>
        <w:pBdr>
          <w:bottom w:val="single" w:sz="14" w:space="5" w:color="355B9D"/>
        </w:pBdr>
      </w:pPr>
      <w:r>
        <w:t xml:space="preserve">10. MRD Traceability</w:t>
      </w:r>
    </w:p>
    <w:p>
      <w:pPr>
        <w:spacing w:after="120"/>
      </w:pPr>
      <w:r>
        <w:t>MRD v2.76 records Module 5 as Phase V1, Backend Complete, In use Complete, with thirteen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FR-007,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Metadata is captured and stored, and exposed unredacted on the detail route.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v2.76 lists Module 5 as Backend Complete and In use Complete with thirteen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96 action types, 17 module keys and sixteen writing surfaces.</w:t>
            </w:r>
          </w:p>
          <w:p>
            <w:pPr>
              <w:keepNext/>
              <w:spacing w:after="40"/>
            </w:pPr>
            <w:r>
              <w:rPr>
                <w:b/>
                <w:color w:val="94670A"/>
                <w:sz w:val="17"/>
              </w:rPr>
              <w:t>•  No capability is added and the count stays at thirteen. MRD v2.76 records the trail as confined to its reader's tenant as well as narrowable to one customer, so the two documents agree; they remain versioned separately and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