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1.12</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1.12</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24 September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commit 73c46350, 13 September 2026</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v2.80 | Module 8</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vs_health, vs_procurement, schools/vs_onboarding,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renders the message, writes the record, queues the email, and keeps the outcome. Standard email uses one tenant-aware layout. Invitation, password-reset, onboarding, and all seven procurement vendor messages now use purpose-specific copy. The procurement family covers an attached purchase order and the RFQ invitation, verification code, reminder, submission receipt, amendment, and deadline extension. The signed RFQ link and verification code are deliberate one-time-secret exceptions: history stores inert markers and only the delivery worker sees the raw values.</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0D80BDC" w14:textId="77777777" w:rsidR="00A62A3E" w:rsidRDefault="00000000">
            <w:pPr>
              <w:spacing w:after="0" w:before="0" w:line="240" w:lineRule="auto"/>
              <w:jc w:val="left"/>
            </w:pPr>
            <w:r>
              <w:rPr>
                <w:rFonts w:ascii="Aptos Narrow" w:hAnsi="Aptos Narrow"/>
                <w:b w:val="0"/>
                <w:color w:val="000000"/>
                <w:sz w:val="16"/>
              </w:rPr>
              <w:t>One shared, email-client-safe layout that composes the visual from the message text, resolves the sender's name and logo at delivery, and allows a per-template override to replace it.</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platform.health.update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 ticket.escalated is registered for Module 31 with in-app and email templates. It fires when a school hands one of its own tickets up to CodeX and is addressed to the platform desk. import.completed, import.failed and user.account_locked remain inactive. The import engine reports runs through task.completed or task.failed, and the account lock flow emits no notification event.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 Inactive import and account-lock keys are absent from the active catalogue and are refused if called directly.</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 tenant that mutes a channel silences it for its own people and for nobody else's. Building the matrix costs two queries regardless of event count.</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Account invitation and reset tokens, signed vendor RFQ links, and vendor verification codes use inert markers in the rendered Notification row. The delivery worker receives their raw values separately and substitutes them in memory immediately before SMTP. Standard HTML removes a duplicated visible action URL when a button and fallback link already carry it. Every in-app template has its own subject. Migration 0018 fills 41 blank subjects and replaces a body only where it still equals the old shared default, preserving staff-authored copy. A feed row whose stored subject is blank falls back to the event label.</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Tests prove each one-time value is absent from stored subject, body, HTML, and metadata while SMTP receives the working value. The procurement integration test proves both the signed RFQ token and ten-minute verification code follow that delivery-only path. InAppSubjectCopyTests and MigrationCopyTests cover event-specific titles, the label fallback and preservation of customized subject and body text.</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claims it, and clearing the flag restores the standard design. Standard markup carries domain-neutral brand placeholders. Migrations 0012 through 0016 refreshed the shared design and earlier email families. Migration 0017 refines all seven standard procurement vendor email rows. Every migration filters html_is_custom=false. The header mark resolves from the same key family as the sender name, in the same order: issuer_logo_url, school_logo_url, entity_logo_url and tenant_logo_url, then the layout's own brand_logo_url, so a caller that names a School as the sender brands its mark with the same vocabulary and the two cannot describe different senders. Where no usable logo is supplied the header keeps the platform initials. Invitation, password-reset and onboarding callers supply the School's public crest address, built from API_PUBLIC_BASE_URL.</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Changing a standard template changes its markup; changing a hand-edited one does not. Saving regenerated standard markup is not treated as a hand edit. Every design migration changes only html_is_custom=false. A customized account, onboarding, or procurement vendor template keeps its subject, body, action, and HTML verbatim. StoredTemplateMarkTests proves one stored document signs each School with its own mark and falls back to the initials where a School has none; ContextKeyFamilyTests proves the logo travels under the same names as the sender, in the same order, and that render places the resolved logo where the stored document reads it.</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0CA19B3" w14:textId="77777777" w:rsidR="00A62A3E" w:rsidRDefault="00000000">
            <w:pPr>
              <w:spacing w:after="0" w:before="0" w:line="240" w:lineRule="auto"/>
              <w:jc w:val="left"/>
            </w:pPr>
            <w:r>
              <w:rPr>
                <w:rFonts w:ascii="Aptos Narrow" w:hAnsi="Aptos Narrow"/>
                <w:b w:val="0"/>
                <w:color w:val="000000"/>
                <w:sz w:val="17"/>
              </w:rPr>
              <w:t>The HTML path renders with escaping on: the markup is trusted because staff wrote it, the values substituted into it are not. Subject and plain-text bodies render with escaping off, because escaping there would put entities in front of a reader. A logo address is checked where it is resolved as well as where a document is composed. Stored markup carries the logo placeholder inside the image source and is substituted at send time, so a check made only at composition never runs on the path that delivers mail; anything but an absolute http or https address, including a javascript: or data: value, a relative path and a protocol-relative one, is refused and the header keeps the platform initials.</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869109C" w14:textId="77777777" w:rsidR="00A62A3E" w:rsidRDefault="00000000">
            <w:pPr>
              <w:spacing w:after="0" w:before="0" w:line="240" w:lineRule="auto"/>
              <w:jc w:val="left"/>
            </w:pPr>
            <w:r>
              <w:rPr>
                <w:rFonts w:ascii="Aptos Narrow" w:hAnsi="Aptos Narrow"/>
                <w:b w:val="0"/>
                <w:color w:val="000000"/>
                <w:sz w:val="17"/>
              </w:rPr>
              <w:t>A context value containing a script tag appears escaped in the delivered HTML and is not executable. This holds for hand-written markup as well, because the rule is in the render rather than in the layout. EmailBrandMarkTests proves only an absolute http or https address becomes an image and that a URL cannot break out of the image attribute; ContextKeyFamilyTests proves a value that cannot load is refused rather than written.</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template's placeholders. Exact procurement samples cover order and quotation numbers, request title, deadline, submission time, delivery and payment terms, buyer details, the verification lifetime, amendment version and response requirement. Preview accepts unsaved editor content and returns the markup alongside the rendered copy.</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and writes nothing. Supplying context overrides generated samples for those keys only. Every standard procurement vendor template renders without unresolved variables, including both amendment branches and an optional purchase-order note or buyer email.</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The feed is ordered unread first, then newest first within each group, and the unread count drives the badge. One RECORD_DESTINATIONS table defines both the action URL and the filters used to acknowledge a record route, so the link and the clear rule cannot drift. It covers ticket, workflow, export run and import batch records. Health incidents and ToDo tasks have no dedicated frontend record route, but their successful API detail read, or a ToDo read or toggle, clears the matching notice. Successful export run detail and authorized file download, ticket detail, workflow instance detail and import batch detail do the same. Every clear is one scoped update over the recipient's own unread in-app rows. Module index routes are destinations only and acknowledge nothing: /finance, /procurement, /team-management, /me/security, /export/files, /data-imports/batches and /tasks. The finance destination matches the "billing." and "payments." prefixes; the old "finance." prefix matched no registered event. POST /v1/notify/acknowledge-route/ returns both updated_count and the caller's live unread_count, which lets the badge use the server's answer after a record read has already cleared rows.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Route-table tests prove action URLs and acknowledgement filters stay paired, module indexes clear nothing, foreign recipients and unrelated records stay unread, and the response carries the live unread total. Record-read tests cover export, ticket, workflow, import, health and ToDo. A refused or hidden record access clears nothing, including a rejected export download and a ticket answered as 404.</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notice with no record destination, including payments unbooked-receipt digests and onboarding notices, is cleared manually from the inbox. Health incidents and ToDo tasks have no dedicated frontend detail page, so their automatic clear is available only through their API read or action. Visiting their module index clears nothing.</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 Ticket escalation, raised by a school and addressed to the platform desk through the same support recipients, is owned the same way, so the escalating school's delivery history never returns the desk's copies.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platform.health.update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Owner row, then platform row, then the event default, once per owning tenant. Transactional events skip this.</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displayed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a dynamic email_brand placeholder. Unique per event and channel. The subject is the in-app title as well as the email subject; an in-app row with no stored subject falls back to its event label.</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 Its read state can be changed directly from the inbox or by an authorized read of the record the notice names.</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5768EC2" w14:textId="77777777" w:rsidR="00A62A3E" w:rsidRDefault="00000000">
            <w:pPr>
              <w:spacing w:after="0" w:before="0" w:line="240" w:lineRule="auto"/>
              <w:jc w:val="left"/>
            </w:pPr>
            <w:r>
              <w:rPr>
                <w:rFonts w:ascii="Aptos Narrow" w:hAnsi="Aptos Narrow"/>
                <w:b w:val="0"/>
                <w:color w:val="000000"/>
                <w:sz w:val="16"/>
              </w:rPr>
              <w:t>Acknowledge the caller's unread in-app rows covered by a visited record route. Module indexes acknowledge nothing. Returns {updated_count, unread_count}.</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platform.health.update recipients, and supplies alert and incident correlation metadata. An authorized incident detail read acknowledges the operator's matching in-app alert notice, even though the notification has no frontend action URL.</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Records every Celery job and applies the default importance policy before raising task.completed or task.failed, and carries the job's kind and the record it is about so the notice can link to it.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and available logo, lifecycle details, readable local review and activation timestamps, the readable expiry deadline, and separate ageing and suspended lists. Existing machine-readable date and timestamp keys remain available for customized templates.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10, 26 and 29</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Supply workflow instances, import batches, export runs and ToDo tasks. Their successful record reads call the shared acknowledgement service; ToDo completion-review notices carry todo_task_id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31, Support Tickets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the ticket events, including ticket.escalated when a school hands one of its own tickets up to CodeX. The platform desk's copies are owned by the desk's own tenant. An authorized ticket detail read acknowledges the caller's matching ticket notices.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22 and 23, Procurement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 seven transactional vendor emails. RFQ callers pass signed links and verification codes as delivery-only replacements; purchase-order delivery supplies the attached PDF and order details. Existing context keys remain available to customized templates.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 MESSAGE NOW BELONGS TO THE PERSON WHO READS IT</w:t>
            </w:r>
          </w:p>
          <w:p w14:paraId="7DFD61F2" w14:textId="77777777" w:rsidR="00A62A3E" w:rsidRDefault="00000000">
            <w:pPr>
              <w:keepNext/>
              <w:spacing w:after="40"/>
            </w:pPr>
            <w:r>
              <w:rPr>
                <w:b/>
                <w:color w:val="94670A"/>
                <w:sz w:val="17"/>
              </w:rPr>
              <w:t>• A record was stamped with the tenant the event was about rather than the tenant of the person receiving it. A support ticket raised by a school and dispatched to platform triage staff produced records owned by the school, so the staff member's own feed filtered them out and the in-app channel was dead for every ticket event.</w:t>
            </w:r>
          </w:p>
          <w:p w14:paraId="7DFD61F2" w14:textId="77777777" w:rsidR="00A62A3E" w:rsidRDefault="00000000">
            <w:pPr>
              <w:keepNext/>
              <w:spacing w:after="40"/>
            </w:pPr>
            <w:r>
              <w:rPr>
                <w:b/>
                <w:color w:val="94670A"/>
                <w:sz w:val="17"/>
              </w:rPr>
              <w:t>• Those same rows were returned by that school's delivery history, so an administrator holding the history key could read the subject and body of a message addressed to platform staff, including the text of an internal ticket note. Ownership now follows the recipient, the originating tenant is recorded separately and exposed nowhere, and a migration moved the records already written.</w:t>
            </w:r>
          </w:p>
        </w:tc>
      </w:tr>
    </w:tbl>
    <w:tbl>
      <w:tblPr>
        <w:tblW w:w="10468" w:type="dxa"/>
        <w:jc w:val="center"/>
        <w:tblLayout w:type="fixed"/>
        <w:tblLook w:val="04A0" w:firstRow="1" w:lastRow="0" w:firstColumn="1" w:lastColumn="0" w:noHBand="0" w:noVBand="1"/>
      </w:tblPr>
      <w:tblGrid>
        <w:gridCol w:w="10468"/>
      </w:tblGrid>
      <w:tr w:rsidR="00A62A3E" w14:paraId="4EC238BE"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br/>
              <w:t>• The registry holds seven billing events, but only six have in-app templates: billing.statement_issued is email-only. Five active in-app-capable customer events are sent only to unregistered addresses and dispatch skips in-app for them; billing.refund_processed is inactive and has no emitter. The six in-app templates remain for a future registered-customer portal.</w:t>
              <w:br/>
              <w:t>• import.completed and import.failed remain inactive because import runs use the generic task events. user.account_locked remains inactive and un-emitted.</w:t>
              <w:br/>
              <w:t>• Recordless notices still need a manual inbox action. Health incidents and ToDo tasks clear only through API reads or actions because neither has a dedicated frontend detail page.</w:t>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v2.80. Each maps to the requirements below. Linking a finished import job's notice to its batch strengthens notification acknowledgement, the sender's logo in the header and the check on its address strengthen HTML email rendering and value escaping, and ticket escalation adds an event to the existing catalogue,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D26F7B6" w14:textId="77777777" w:rsidR="00A62A3E" w:rsidRDefault="00000000">
            <w:pPr>
              <w:spacing w:after="0" w:before="0" w:line="240" w:lineRule="auto"/>
              <w:jc w:val="left"/>
            </w:pPr>
            <w:r>
              <w:rPr>
                <w:rFonts w:ascii="Aptos Narrow" w:hAnsi="Aptos Narrow"/>
                <w:b w:val="0"/>
                <w:color w:val="000000"/>
                <w:sz w:val="16"/>
              </w:rPr>
              <w:t>FR-005, FR-006, FR-007</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FR-012, FR-015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t>Updates the Health alert recipient contract to resolve active platform.health.update holders after the broad Health write key was retired. Delivery behavior and ownership remain unchanged.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event-specific in-app subjects, one destination table shared by links and acknowledgement, server-side clearing on successful record reads, the {updated_count, unread_count} route response, ToDo record metadata and export result naming. It also states the remaining recordless, health, ToDo, import, account-lock and billing delivery limits precisely. Console ff84fc4 and school-app 448cac2 consume the contract, but their commits are not proof of deployment. Module 8 stays at 22 capability entries.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that reached the notification engine after v1.9. A finished background job's notice reported an outcome with no way to reach it; the task tracker now records the record a job is about, and an import or its rollback links its task.completed or task.failed notice to the batch page, which acknowledges those notices when visited, while a job kind with no record page stays unlinked. The standard email header signed every message with the platform initials beside a School's name, because the logo was read from one internal key almost no caller passed; it now resolves from the same key family as the sender name, and the address is checked where it is resolved, since stored markup substitutes it inside the image source at send time and the composition-time check never ran on the delivery path, so a javascript: or data: value reached the attribute. ticket.escalated is registered for Module 31 with in-app and email templates and is addressed to the platform desk. Scope, FR-001, FR-006, FR-007, FR-010, FR-014, the acknowledge-route contract, the task-tracker and Module 31 dependencies and MRD traceability are updated. Module 8 remains Backend Complete and In use Complete with 22 capabilities against MRD v2.76. Covered by BackgroundJobActionUrlTests and the brand-mark tests in tests_email_brand_mark; the suites were not re-run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seven standard procurement vendor templates and closes a credential leak in delivery history. Purchase-order mail identifies its PDF, key terms, optional buyer note, and contact. RFQ mail names the request, deadline, available action, submission revision, amendment requirement, or new deadline. The quotation receipt explicitly separates receipt from acceptance or award. Signed RFQ links and verification codes now enter Notification history only as inert markers and are substituted by the worker immediately before SMTP. Migration 0017 updates only platform-maintained rows and preserves staff-authored content. Updates scope, FR-005, FR-006, FR-008, procurement dependencies, and MRD traceability. Module 8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1.11</cp:version>
  <dc:title>XVS M08 Notifications and Delivery Functional Requirements Document v1.11</dc:title>
</cp:coreProperties>
</file>