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1.6</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24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v2.76 | Module 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Selection of customers is supplied by the caller; the module has no rule about who should be billed, because that rule belongs to a domain it does not know.</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dunning policy is a ladder of stages keyed to days overdue. Generation scans open invoices and raises a notice at the highest stage each one qualifies for, idempotent per invoice and level. The notice lifecycle runs pending, sent, cancelled or resolved.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never re-issues a reminder already sent at that rung. Dunning is a communications overlay and touches no ledger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Aging, the AR reconciliation against the control account, customer statements, and invoice and payment summaries are served as entity-scoped reads. Historical as-of receivables reconstruct balances at a requested date from dated allocations.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as-of view is reconstructed from dated allocations rather than current state, so a question about last month's position is answered with last month's facts.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POST fee-structures/{id}/link-term/ under finance.feestructure.edit,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bill carries the due date the school's fee due policy resolves (FR-014), and is raised in the name of the effective user, so a CodeX operator acting inside a school's session raises it as that school's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GenerationPreviewTests proves a billed cohort carries a due date and records who raised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and lists. The financial statements still aggregate across branches and are recorded as an open gap in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only. This module's own generation route (FR-002) takes a caller-supplied date or the entity's default payment terms, so a school billing from that route gets a date its own rule did not choose. Changing the rule dates future bills and leaves bills already raised as they were.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customer's receipt document.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Bulk-raise posted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Tie a fee structure to an academic session and term.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notices for everything overdue.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That means a bulk run bills exactly the selection it is given, and a wrong selection is not detectable here.</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only by cohort billing through the finance abstraction layer. A structure billed through this module's own generation route takes the caller's date or the entity's default payment terms, so the same term's fees can fall due on different days depending on which route raised them.</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1.5</cp:version>
</cp:coreProperties>
</file>