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1.11</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direct entries post in one step behind a CRITICAL key.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register their own approval ladders, whose stages name approver groups the same call creates empty, so a tenant's books arrive with closed rules rather than with roles it never asked for. The finance abstraction layer provisions a school's books through this path rather than creating a ledger entity itself, which is the difference between books a school can post to and a row that fails at the first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keepNext/>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trial balance, income statement and balance sheet still aggregate ledger lines across branches. They reach the branch through several relation paths and need their own design round, so they are deliberately excluded and remain an open gap in the MRD.</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holds no ledger logic and posts nothing itself.</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Module 4 owns the rule and carries the same item at P2, and MRD v2.76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The direct-post routes for journals and expense claims refuse a post only while a stage of the resolved ladder would apply. Where the ladder has no steps the document posts with no confirmation and no POSTED_WITHOUT_APPROVAL record, although the same document sent through submit is refused, and Module 20's four adjustment types ask for the confirmation on both routes.</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w:t>
            </w:r>
          </w:p>
        </w:tc>
      </w:tr>
    </w:tbl>
    <w:p w:rsidR="00A62A3E" w:rsidRDefault="00000000">
      <w:pPr>
        <w:spacing w:after="120"/>
      </w:pPr>
      <w:r>
        <w:t>All 26 entries are traced above. Module number, name, phase, backend and in-use states and code ownership agree with MRD v2.76. The MRD's Module 19 note, Module 4's FRD and this document agree on what is open: the branch narrowing has landed on every branch-bearing read and write here, bank accounts reached by id among them,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