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19a50b3, 12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v2.77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Reorder indicators are reported on demand;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v2.77. Each maps to the requirements below. Narrowing balances, movements and item figures to the caller's own stores strengthens stock locations and per-location balances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v1.3</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cp:version>
</cp:coreProperties>
</file>