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M30 | System Health &amp; Monitoring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1.2</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24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commit 73c46350, 13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v2.80 | Module 30</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vs_health</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vs_user, vs_notifications, vs_config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Monitoring ownership, included signals, and boundaries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Telemetry flow, platform scope, and state vocabulary</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manage, evaluate, and receive alarms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Collection, probing, alerting, delivery, and recovery</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telemetry, configuration, incidents, and objectives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filters, ranges, and response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Workers, broker, database, RBAC, notification, and probes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backend gaps and required completion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Module 30 capability mappings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cantSplit/>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User authentication and permission vocabulary</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 and Module 4. Health consumes active-user and RBAC decisions.</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Email transport and in-app inbox</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Background job business outcomes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Payment webhook authenticity or replay</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Frontend console implementation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consuming application. This FRD proves backend contracts only.</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External uptime provider guarantees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configured network, SMTP, certificate, database, Redis, and HTTP targets.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three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82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healthy</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Observed evidence is inside the configured warning and critical bands.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warning</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Observed evidence is degraded or approaching a configured limit.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critical</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Observed evidence crosses a critical threshold or a probe fails.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unknown</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 honest conclusion is available, including an insufficient request sample.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operational</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br/>
              <w:t>The notification has no dedicated frontend incident page. Automatic clear therefore happens only when the incident detail API is read; the Health index acknowledges nothing.</w:t>
            </w:r>
          </w:p>
          <w:p>
            <w:pPr>
              <w:spacing w:before="0" w:after="40" w:line="240" w:lineRule="auto"/>
              <w:numPr>
                <w:ilvl w:val="0"/>
                <w:numId w:val="1"/>
              </w:numPr>
            </w:pPr>
            <w:r>
              <w:rPr>
                <w:rFonts w:ascii="Aptos Narrow" w:hAnsi="Aptos Narrow"/>
                <w:b w:val="0"/>
                <w:color w:val="000000"/>
                <w:sz w:val="17"/>
              </w:rPr>
              <w:t>Module 30 remains Backend Complete and In use Complete in MRD v2.80. This is evidence alignment, not a claim of deployment.</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cantSplit/>
        </w:trPr>
        <w:tc>
          <w:tcPr>
            <w:tcW w:type="dxa" w:w="20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46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Gate or contract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health viewer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every Health analytics and detail surface.</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authentication plus platform.health.view.</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health manager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plus platform.health.create or platform.health.update, according to the method.</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 middleware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Best-effort internal instrumentation; no API identity.</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Celery beat and workers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Internal scheduler and configured broker/worker runtime.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alarm recipient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 in-app and email alarm records.</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 platform.health.create or platform.health.update, according to the method grant on the platform tenant.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External dependency</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Answer an HTTP, TCP, Redis, PostgreSQL, or TLS probe.</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cantSplit/>
        </w:trPr>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GET and list operations</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incident</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Global incident record and selected monitored services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Append incident event</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incident UUID</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alert rule</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Global rule registry</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deployment annotation</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Global deployment timeline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Receive a fired Health alarm</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 platform.health.create or platform.health.update, according to the method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platform-tenant recipients only</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 A successful scoped incident detail read acknowledges the operator's matching unread in-app alert notice.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 The incident read clears only the caller's matching notice. Another operator's row and another incident stay unread.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platform.health.update must receive both an in-app notification and an email record.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Health view requires an active authenticated user and platform.health.view or platform.health.create or platform.health.update, according to the method. requested_tenant resolves for_tenant separately from the authentication tenant parameter, rejects unknown targets, and analytics queries filter RequestMetric.</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cantSplit/>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50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rule</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Measurement never changes request routing or authorization.</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Concurrent workers add to one canonical aggregate row.</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cantSplit/>
        </w:trPr>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Task</w:t>
            </w:r>
          </w:p>
        </w:tc>
        <w:tc>
          <w:tcPr>
            <w:tcW w:type="dxa" w:w="49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Outcome</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minute</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Capture queue snapshot</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Queue depth, task outcomes, worker capacity, and trend row</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minute</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alert rules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Breach state, alert and incident lifecycle, and first-fire delivery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five minutes</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uptime checks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Stored probe result and refreshed service or route-group status</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Hourly at :15</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Roll up uptime</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Daily uptime percentage, failures, worst status, and response average</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 at 03:00</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Prune metrics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Evaluation</w:t>
            </w:r>
          </w:p>
        </w:tc>
        <w:tc>
          <w:tcPr>
            <w:tcW w:type="dxa" w:w="47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Current value does not breach or cannot be evaluated.</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value crosses the comparator and threshold.</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breach_started_at; do not fire before duration_sec elapses.</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Sustained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remains breaching for the full duration.</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Under the locked rule row, open one alert and one automatic incident.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First-fire delivery</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active platform.health.create or platform.health.update, according to the method holders.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retry</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SMTP delivery fails after the row exists.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Repeated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firing alert still exists.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no duplicate incident or notification.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contract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MonitoredService</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Stable operational registry and current state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Unique key; active ordering; optional status-change timestamp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RequestMetric</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Minute route/method/tenant request aggregate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bucket tuple; bounded histogram; nullable tenant dimension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UptimeCheck</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Recurring probe configuration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Service, check type, target, interval, region, expected thresholds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UptimeCheckResult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One normalized probe outcome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Status, time, code, bounded error text, and probe metadata</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UptimeDailyRollup</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Long-window availability evidence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Unique service/day row with total and failed checks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QueueSnapshot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Point-in-time broker and worker evidence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Queue/time index and retry-storm state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Incident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Manual or automatic operational incident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UUID primary key and UUID-backed unique human code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IncidentEvent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Append-only incident timeline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Kind, actor label, text, and timestamp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AlertRule</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Persisted breach start and email_and_in_app destination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Alert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Firing or resolved instance of one rule breach</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most one firing row per rule; optional incident and service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Deployment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Timeline annotation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Version, environment, kind, actor, text, and occurrence time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SLO</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Availability objective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rPr>
          <w:cantSplit/>
        </w:trP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/v1/health/overview/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/v1/health/services/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Worst-first active service grid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/v1/health/services/{key}/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service, uptime summary, and ten recent alerts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/v1/health/uptime/monitors/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All service uptime windows, segments, response series, and SSL data</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/v1/health/uptime/monitors/{key}/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uptime monitor or 404</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/v1/health/api-endpoints/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Endpoint rows, top slow/error routes, and status-code series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/v1/health/api-endpoints/detail/?route=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route's totals, percentiles, histogram, series, and affected tenants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/v1/health/queues/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 snapshots, trends, and workers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/v1/health/tasks/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Tracked jobs filtered by status, queue, kind, or for_tenant</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/v1/health/incidents/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list filtered by state or severity</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/v1/health/incidents/reliability/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MTTA, MTTR, incident count, and active count</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/v1/health/incidents/{id}/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detail with timeline; acknowledges the caller's matching in-app alert notice after the scoped read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/v1/health/alerts/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Firing alerts by default or resolved history</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/v1/health/alert-rules/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Configured alert rules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/v1/health/alert-rules/{id}/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alert rule</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/v1/health/tenants/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Tenant health rows and noisy-neighbour indicators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/v1/health/tenants/{tenant_id}/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tenant's golden signals, series, and endpoints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/v1/health/deployments/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Deployment annotations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/v1/health/slos/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endpoint</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/v1/health/incidents/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a manual incident; code optional; selected service keys validated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PUT/PATCH /v1/health/incidents/{id}/</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incident state, ownership labels, services, narrative, and timestamps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/v1/health/incidents/{id}/events/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Append a validated incident timeline event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/v1/health/alert-rules/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 validated rule with the mandatory email and in-app destination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PUT/PATCH /v1/health/alert-rules/{id}/</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thresholds, target, duration, severity, or enabled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/v1/health/deployments/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cantSplit/>
        </w:trPr>
        <w:tc>
          <w:tcPr>
            <w:tcW w:type="dxa" w:w="20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Input</w:t>
            </w:r>
          </w:p>
        </w:tc>
        <w:tc>
          <w:tcPr>
            <w:tcW w:type="dxa" w:w="66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Failure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range</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named window; unknown value falls back to 1h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unbounded scan</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start and end</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Both valid, start before end, maximum 90 days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Fall back to named range policy</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for_tenant</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when no tenant matches</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when absent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service key</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Stable monitored-service key</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when absent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alert request metric target</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exist in explicit request-route mapping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on unsupported service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channel</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email_and_in_app</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any other value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write permission</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platform.health.create or platform.health.update, according to the method on unsafe methods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cantSplit/>
        </w:trPr>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5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Django middleware and resolver</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PostgreSQL</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beat and workers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five scheduled Health tasks and deliver queued email notifications.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Redis broker</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4 Roles &amp; Permissions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Publish platform.health.view/create/update and resolve active alarm recipients from effective grants.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 &amp; Delivery</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 An incident has no frontend notification route, but its authorized API detail read clears the caller's matching row.</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 Identity &amp; Team</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Supply active platform user records and email addresses.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6 Configuration</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notification retry settings and runtime environment values.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External HTTP, TCP, SMTP, payment, and TLS targets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core.BackgroundJob</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platform.health.create or platform.health.update, according to the method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rPr>
          <w:cantSplit/>
        </w:trPr>
        <w:tc>
          <w:tcPr>
            <w:tcW w:type="dxa" w:w="10469"/>
            <w:shd w:fill="E4F3EA"/>
            <w:tcBorders>
              <w:top w:val="single" w:sz="9" w:color="1F7A4D"/>
              <w:left w:val="single" w:sz="9" w:color="1F7A4D"/>
              <w:bottom w:val="single" w:sz="9" w:color="1F7A4D"/>
              <w:right w:val="single" w:sz="9" w:color="1F7A4D"/>
              <w:insideH w:val="single" w:sz="9" w:color="1F7A4D"/>
              <w:insideV w:val="single" w:sz="9" w:color="1F7A4D"/>
            </w:tcBorders>
            <w:tcMar>
              <w:top w:w="100" w:type="dxa"/>
              <w:start w:w="120" w:type="dxa"/>
              <w:bottom w:w="100" w:type="dxa"/>
              <w:end w:w="120" w:type="dxa"/>
            </w:tcMar>
          </w:tcPr>
          <w:p>
            <w:pPr>
              <w:spacing w:before="0" w:after="60" w:line="240" w:lineRule="auto"/>
            </w:pPr>
            <w:r>
              <w:rPr>
                <w:rFonts w:ascii="Aptos Narrow" w:hAnsi="Aptos Narrow"/>
                <w:b/>
                <w:color w:val="1F7A4D"/>
                <w:sz w:val="18"/>
              </w:rPr>
              <w:t>INSPECTED EVIDENCE</w:t>
              <w:br/>
              <w:t>IncidentReadClearsNotificationTests covers caller ownership, incident matching and the API-only acknowledgement path. The suite was not rerun for this documentation-only revision.</w:t>
            </w:r>
          </w:p>
          <w:p>
            <w:pPr>
              <w:spacing w:before="0" w:after="40" w:line="240" w:lineRule="auto"/>
              <w:numPr>
                <w:ilvl w:val="0"/>
                <w:numId w:val="1"/>
              </w:numPr>
            </w:pPr>
            <w:r>
              <w:rPr>
                <w:rFonts w:ascii="Aptos Narrow" w:hAnsi="Aptos Narrow"/>
                <w:b w:val="0"/>
                <w:color w:val="000000"/>
                <w:sz w:val="17"/>
              </w:rPr>
              <w:t>Module 30 suite: 37 tests passed, including collection, analytics, small-sample guards, sustained service-scoped alerting, delivery records, incident references, seeding, authentication, and tenant filters.</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cantSplit/>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7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rPr>
          <w:cantSplit/>
        </w:trP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Unsupported 100 percent uptime claim</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this item only after the implementation returns an honest no-data state and the relevant monitor and SLO tests pass.</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v2.80. Each maps to the controlling requirements below.</w:t>
      </w:r>
    </w:p>
    <w:tbl>
      <w:tblPr>
        <w:tblW w:type="dxa" w:w="10468"/>
        <w:jc w:val="center"/>
        <w:tblLayout w:type="fixed"/>
        <w:tblLook w:firstColumn="1" w:firstRow="1" w:lastColumn="0" w:lastRow="0" w:noHBand="0" w:noVBand="1" w:val="04A0"/>
      </w:tblPr>
      <w:tblGrid>
        <w:gridCol w:w="4824"/>
        <w:gridCol w:w="3096"/>
        <w:gridCol w:w="2548"/>
      </w:tblGrid>
      <w:tr>
        <w:trPr>
          <w:tblHeader w:val="true"/>
          <w:cantSplit/>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30 capability</w:t>
            </w:r>
          </w:p>
        </w:tc>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c>
          <w:tcPr>
            <w:tcW w:type="dxa" w:w="25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System-health overview</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FR-001, FR-003, FR-005, FR-007, FR-008, 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 status and history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FR-001, FR-004, 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 indicators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SSL status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Tenant-filterable API request analytics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 FR-003, FR-004, FR-015</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 and task health</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FR-009, FR-010, FR-011, FR-012, FR-013</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records and events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 FR-011, FR-013</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Reliability summaries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 FR-013, 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Tenant health</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 FR-003, FR-004, FR-015</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Deployment visibility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Service-level objective tracking</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Unauthenticated provider-webhook operations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Relocated operation; request health observed without payload capture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24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Splits Health writes into platform.health.create and platform.health.update. Fired-alert recipients resolve from active update holders, matching the authority that maintains incidents and alert rules. Backend evidence only;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a successful incident detail API read clears only the caller's matching in-app alert notice. No dedicated frontend incident page exists, and the Health index clears nothing. FR-008, the read route, Module 8 dependency, current decision and evidence boundary are reconciled. Backend and committed frontend evidence only; nothing here claims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rPr>
          <w:cantSplit/>
        </w:trP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cp:version>
  <dc:title>XVS M30 System Health and Monitoring Functional Requirements Document v1.1</dc:title>
  <dc:subject>Code-aligned functional requirements for XVS Module 30</dc:subject>
  <dc:creator>CodeX Team</dc:creator>
</cp:coreProperties>
</file>