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&amp; Accounting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1.8</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1.8</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5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Working tree, 5 September 2026 (pending commit)</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v2.64 | Module 19</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income statement, balance sheet, cash flow, changes in equity, the statutory pack, analytics slices, and the dashboard.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statement import, matching, split and group matches, adjusting journals, and reconciliation completion.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plans with an approval lock and variance reporting, and fixed assets with straight-line depreciation and disposal.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 xml:space="preserve">THE NULL BRANCH, AND WHY PROCUREMENT READS IT DIFFERENTLY</w:t>
            </w:r>
          </w:p>
          <w:p w:rsidR="00A62A3E" w:rsidRDefault="00000000">
            <w:pPr>
              <w:spacing w:after="20"/>
              <w:ind w:left="86" w:hanging="86"/>
            </w:pPr>
            <w:r>
              <w:rPr>
                <w:sz w:val="16"/>
              </w:rPr>
              <w:t xml:space="preserve">•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xml:space="preserve">•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xml:space="preserve">•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xml:space="preserve">•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Import statements,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finance.bankaccount.*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finance.payrollrun.*, finance.salary.*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ledger entity has its own chart of accounts, and services that need a control account find it by code rather than by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with a customised chart fails loudly with a clear missing-account error rather than posting into the wrong place.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journal may post unbalanced, and none may post into a period that is not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journal can be raised, submitted, posted, and reversed, with the reversal recorded rather than the original edited.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Journals carry a submit, post, and reverse endpoint; direct entries post in one step behind a CRITICAL key. Posting maintains the denormalised account balances the reports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posted journal is never edited in place: a correction is a reversal and a new entry, so the history of what the books said remains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transaction must be refusable when it could not have happened on the date it claims.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Sealing a period must run integrity checks and post what the close owes before the period locks.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standard statements must be cheap to produce and must always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Reports read the denormalised account balances that posting maintains rather than re-summing the journal. Trial balance, income statement, balance sheet, cash flow, changes in equity, the statutory pack, analytics slices, and a dashboard are all served this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double-entry ledger over a balanced set of postings always balances, and the trial balance demonstrates it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balance corrupted outside the posting service would be believed by the reports; the balances are a cache maintained at the one write point. Separately, none of these statements is narrowed to the branches the reader is entitled to, which is this module's open gap: see FR-019 and Section 9.</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difference between the ledger's cash balance and the bank's must be explainable.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statement amount is signed from the platform's perspective and a ledger cash line's signed contribution is debit minus credit, so a match is an equality rather than a judgement. Auto-reconcile proposes; it does not post.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entity's debt to an employee who spent their own money must be recognised when incurred and cleared when repaid.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cash float must move through the ledger as it is spent, and must not be able to overdraw.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fund cannot silently drift from the ledger, because it is re-derived rather than incremented. A voucher exceeding the float is refused.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Payroll cost is incurred before the cash leaves, and the statutory deductions are held in between.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an authority must be derived from the ledger, not retyped.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worksheet posts nothing; the amount is reproducible from the GL at any time.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that actuals are measured against must not be rewritten after the fact.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Budgets hold lines per account and period and never post to the ledger. Approving one locks it. Variance and heatmap views compare it against actuals.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disappointing variance cannot be quietly fixed by editing the budget, because approval is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capital asset is recognised at cost and expensed over its useful life without losing the original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changed the books, and what they changed,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Gateway actions in Module 18 keep their own append-only trail, so the two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must not discover on the day that it has no open period to post into.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fiscal-calendar runway warning surfaces when the defined periods are close to exhausted.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warning is derived from the calendar, so it needs no separate bookkeeping to stay true.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One entity's ledger must never be readable or writable by another, and no level of permission may widen that.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close must be able to run checks this module cannot write, without this module importing the app that owns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 tenant's books must also create the controls over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register their own approval ladders, whose stages name approver groups the same call creates empty, so a tenant's books arrive with closed rules rather than with roles it never asked for. The finance abstraction layer provisions a school's books through this path rather than creating a ledger entity itself, which is the difference between books a school can post to and a row that fails at the first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that raises rolls the entity back rather than leaving books without their gates, and provisioners are idempotent so a second entity in one tenant finds the earlier work and leaves it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rsidR="00A62A3E" w:rsidRDefault="00000000">
            <w:pPr>
              <w:spacing w:after="0"/>
            </w:pPr>
            <w:r>
              <w:rPr>
                <w:b/>
                <w:color w:val="A86800"/>
              </w:rPr>
              <w:t xml:space="preserve">FR-019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granted a branch must read that branch's rows and the school-wide ones beside them, and must not read another branch's.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trial balance, income statement and balance sheet still aggregate ledger lines across branches. They reach the branch through several relation paths and need their own design round, so they are deliberately excluded and remain an open gap in the MRD.</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school must be able to run one payroll for everybody or one for each branch, and neither arrangement may pay somebody twice or miss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those people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scope boundary for every finance read and write. Branch is a finer dimension inside it, never a substitute for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Maintained by posting; read by every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posts; frozen by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Nullable and not backfilled; a branch payroll run reads it exclusively (FR-021).</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and the chart of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on one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what is currently postable.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post in one CRITICAL action.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configuration.</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landing aggregate.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cardinal balanced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primary statements.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statements as one filing pack.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 statement lines, imports, and the import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Plan, freeze, and compare.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staff who are still unassigned.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holds no ledger logic and posts nothing itself.</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approval where a template exists for a finance document type. The submit response carries the parked warning when nobody can approve.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statement-import wizard; finance owns the normalisation and the invariants publish must satisfy.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a baseline chart and calendar; seed_finance_permissions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Holds the payroll scope as a school setting. Finance supplies the guard that refuses the switch, so the rule lives here and the configuration engine still knows nothing about employees.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CURRENT GAP - THE FINANCIAL STATEMENTS ARE NOT NARROWED BY BRANCH</w:t>
            </w:r>
          </w:p>
          <w:p w:rsidR="00A62A3E" w:rsidRDefault="00000000">
            <w:pPr>
              <w:spacing w:after="20"/>
              <w:ind w:left="86" w:hanging="86"/>
            </w:pPr>
            <w:r>
              <w:rPr>
                <w:sz w:val="16"/>
              </w:rPr>
              <w:t xml:space="preserve">• Every other branch-bearing read in this module narrows to the caller's branches (FR-019). These do not: trial balance, balance sheet, income statement, cash flow, changes in equity, the statutory pack, AR aging, AR reconciliation, the finance dashboard, budget variance and heatmap, and account activity.</w:t>
            </w:r>
          </w:p>
          <w:p w:rsidR="00A62A3E" w:rsidRDefault="00000000">
            <w:pPr>
              <w:spacing w:after="20"/>
              <w:ind w:left="86" w:hanging="86"/>
            </w:pPr>
            <w:r>
              <w:rPr>
                <w:sz w:val="16"/>
              </w:rPr>
              <w:t xml:space="preserve">• What it looks like on a screen: Corona runs Ikeja, Lekki and Yaba. Mrs Bello is Bursar at Ikeja, and her lists show Ikeja's rows and the school-wide ones. She opens the income statement and reads all three branches' surplus.</w:t>
            </w:r>
          </w:p>
          <w:p w:rsidR="00A62A3E" w:rsidRDefault="00000000">
            <w:pPr>
              <w:spacing w:after="20"/>
              <w:ind w:left="86" w:hanging="86"/>
            </w:pPr>
            <w:r>
              <w:rPr>
                <w:sz w:val="16"/>
              </w:rPr>
              <w:t xml:space="preserve">• This was named and deferred, not overlooked. The statements aggregate ledger lines through several different relation paths, so narrowing them is a design round of its own rather than a filter dropped into each query, and half-doing it would have been worse than leaving it whole and saying so.</w:t>
            </w:r>
          </w:p>
          <w:p w:rsidR="00A62A3E" w:rsidRDefault="00000000">
            <w:pPr>
              <w:spacing w:after="20"/>
              <w:ind w:left="86" w:hanging="86"/>
            </w:pPr>
            <w:r>
              <w:rPr>
                <w:sz w:val="16"/>
              </w:rPr>
              <w:t xml:space="preserve">• Required completion: narrow them through the same scope object, once per relation path, deciding for each path whether a row with no branch is shared across the school or is a scope of its own. Where a statement is an entity-level report by definition, record that decision in the code, so the absence is a decision rather than an omission.</w:t>
            </w:r>
          </w:p>
          <w:p w:rsidR="00A62A3E" w:rsidRDefault="00000000">
            <w:pPr>
              <w:spacing w:after="20"/>
              <w:ind w:left="86" w:hanging="86"/>
            </w:pPr>
            <w:r>
              <w:rPr>
                <w:sz w:val="16"/>
              </w:rPr>
              <w:t>• Module 4 owns the rule and carries the same item at P2, and MRD v2.36 carries it as the priority gap against Modules 19 and 4. The three agree that this is what remains open.</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FURTHER GAPS</w:t>
            </w:r>
          </w:p>
          <w:p w:rsidR="00A62A3E" w:rsidRDefault="00000000">
            <w:pPr>
              <w:spacing w:after="20"/>
              <w:ind w:left="86" w:hanging="86"/>
            </w:pPr>
            <w:r>
              <w:rPr>
                <w:sz w:val="16"/>
              </w:rPr>
              <w:t xml:space="preserve">•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xml:space="preserve">• Depreciation is straight-line only. Reducing-balance and usage-based methods are not implemented.</w:t>
            </w:r>
          </w:p>
          <w:p w:rsidR="00A62A3E" w:rsidRDefault="00000000">
            <w:pPr>
              <w:spacing w:after="20"/>
              <w:ind w:left="86" w:hanging="86"/>
            </w:pPr>
            <w:r>
              <w:rPr>
                <w:sz w:val="16"/>
              </w:rPr>
              <w:t xml:space="preserve">• The fiscal-calendar runway warning warns but does not create the next year, so an entity that ignores it still runs out.</w:t>
            </w:r>
          </w:p>
          <w:p w:rsidR="00A62A3E" w:rsidRDefault="00000000">
            <w:pPr>
              <w:spacing w:after="20"/>
              <w:ind w:left="86" w:hanging="86"/>
            </w:pPr>
            <w:r>
              <w:rPr>
                <w:sz w:val="16"/>
              </w:rPr>
              <w:t xml:space="preserve">•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xml:space="preserve">• School domain integration is incomplete where a finance record needs academic ownership, tracked against Modules 11 to 16. That is a separate matter from branch scope, which FR-019 to FR-021 record and whose one open gap is stated above.</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25 capability entries in MRD v2.45.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FR-019,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w:t>
            </w:r>
          </w:p>
        </w:tc>
      </w:tr>
    </w:tbl>
    <w:p w:rsidR="00A62A3E" w:rsidRDefault="00000000">
      <w:pPr>
        <w:spacing w:after="120"/>
      </w:pPr>
      <w:r>
        <w:t>All 24 entries are traced above; the two provisioning entries were inside the count in every prior version but had never been listed. Module number, name, phase, backend and integration states and code ownership agree with MRD v2.36. The MRD's Module 19 note, Module 4's FRD v1.2 and this document agree on what is open: the branch narrowing has landed on every branch-bearing read and write here, and the financial statements are the one surface it has not reached.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v1.8</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v1.8</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1.8</cp:version>
</cp:coreProperties>
</file>