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br/>
              <w:t>Module 8: Notifications &amp; Delivery</w:t>
              <w:br/>
              <w:t>XVision Systems | Code-aligned functional baseline</w:t>
              <w:br/>
              <w:t>Prepared by: CodeX Team     Version: 1.1</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M8 | Notifications &amp; Delivery</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1.1</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23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Backend worktree at a29ed92 and console-fe worktree at 34f7c2d (23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v2.23 | Module 8</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vs_notifications</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vs_tenants, vs_rbac, vs_user, vs_config, core</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What the notification engine owns, and what it does not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Recipient-centric dispatch,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reads a feed, configures a channel, and writes a template</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One dispatch end to end, and who owns a template's markup</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Event types, templates, settings, and dispatch records</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Identity, permission, configuration, and mail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8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8 is the platform's one way of telling somebody something happened. A domain module raises a named event with a context; this module decides which channels may carry it for that tenant, renders the message for each recipient, writes the in-app record, queues the email, and keeps the outcome. Its organising commitment is that the message an administrator reads in the console is the message the recipient receives: the email markup is stored on the template rather than assembled out of sight at send time. Queue tracking remains complete, while the bell is reserved for outcomes a person is waiting to use or act on.</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Event registry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named events a module may raise, the channels each supports, and whether it bypasses tenant settings.</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Templates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The subject, the message, the action button, and the stored email markup, with the placeholders each uses.</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The email design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One shared layout that composes the visual from the message text, and the per-template override that replaces it.</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Rendering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Placeholder substitution for one recipient, escaping of substituted values, and the sample-data preview.</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Delivery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In-app records written immediately, email queued through Celery with retries and terminal outcomes.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The inbox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The recipient's feed, its unread-first order, read actions, unread counts, and route acknowledgement.</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Settings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effective per-channel matrix, its platform defaults, and a tenant's overrides.</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History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Delivery outcomes, failure reasons and retry counts, for administrators and auditors.</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Background-result importance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shared task tracker decides whether a generic completion event is useful, while domain modules suppress it when they already send a richer result event.</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The events themselves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The module that raises one. This module never decides that something happened, only how it is told.</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The permission registry the communication keys live 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4, Roles &amp; Permissions. This module reads grants; it does not define them.</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Conversation, chat, and SMS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Not owned anywhere. This is a delivery engine, not a messaging product.</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Rendering the console's own screens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The console. This module answers with rendered content and never with a page.</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Mail transport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The platform mail helper and its provider. This module hands over a finished message.</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Dispatch is recipient-centric, not tenant-centric. A notification carries a tenant for filtering and history, but a recipient with no school is a first-class target, so platform staff receive the same way a bursar does. Two rules sit above a tenant's preferences: the in-app channel cannot be switched off, because it is the trail that proves a person was told, and an event marked transactional bypasses the settings matrix entirely, because a password reset that a preference can suppress is a lockout. The platform kill switch on an event type still wins over both.</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No backend path exists. Recorded here so the absence is deliberate rather than assumed.</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Reading a feed needs no permission, because it contains only what was addressed to the reader; the queryset is pinned to the requesting user and an unknown id answers 404 rather than 403, so no reader can confirm another person's notification exists. Everything above one person's own mail is keyed: configuring channels for a tenant, writing templates for the platform, and reading the delivery history are three separate grants, because they are three different kinds of authority.</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Any signed-in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Read their own feed, mark it read, acknowledge a route.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No key. Being the recipient is the grant.</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Tenant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Switch a channel on or off for their own tenant, per event.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communication.communication_permissions.enforce, inside their own tenant only</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Platform staff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Create and edit templates, and preview any of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communication.notification_templates.configure</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Auditor or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Read the delivery history and its outcomes.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communication.message_activity.audit, scoped to their own tenant</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The platform itself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Raise events and dispatch them. No HTTP surface; services call the dispatcher directly.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None. Not reachable from the API.</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Register an Event Before Anything Can Raise It</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 module must not be able to invent a notification at the point of sending one, or the catalogue an administrator configures would never match what the platform actually sends.</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Events are seeded from one registry and resolved by key at dispatch. An unknown or inactive key raises UnknownEventTypeError rather than sending anything. Each entry declares the channels it supports, its default, and whether it is transactional.</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An unregistered key is refused. An event marked inactive dispatches on no channel regardless of any tenant setting. The settings matrix and the catalogue endpoint both list exactly the active registry.</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An event stays inactive until a module actually emits it, so the catalogue can lag a half-built feature.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Decide Which Channels Fire, Per Tenant</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One school wanting email for overdue invoices must not decide it for another, and a platform default must exist for the tenants that have expressed no preference.</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Resolution layers a tenant row over a platform row over the event's own default, in one query for the whole matrix. The effective value and the layer that produced it are both returned, so the console can show provenance rather than an unexplained toggle.</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A tenant override beats the platform row; a tenant with no row inherits it. A caller may read and write only their own tenant's rows. Building the matrix costs two queries regardless of event count.</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Preferences are per tenant, not per person. A single recipient cannot mute one event for themselves.</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Never Let the In-App Trail Be Switched Off</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The in-app record is the evidence that a person was told. A preference that can erase it turns a delivery question into an argument.</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A write that would disable the in-app channel is refused with IN_APP_ALWAYS_ENABLED. The refusal is enforced where settings are written, so no row can persist that says otherwise.</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A PATCH disabling in-app is rejected. In-app records are created with status SENT and a dispatch time, because for that channel the database write is the delivery.</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t>FR-004 Send Must-Send Mail Regardless of Preference</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password reset or an invitation that a tenant preference can suppress is a lockout with no route out.</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An event marked transactional bypasses the settings matrix entirely and dispatches on its supported channels. The platform kill switch on the event type still applies.</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A transactional event dispatches with its channel switched off at both tenant and platform level. A PATCH attempting to configure one is refused with TRANSACTIONAL_NOT_CONFIGURABLE.</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None.</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Store the Email Exactly As It Will Be Delivered</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An administrator cannot be asked to trust a design they cannot see. Markup assembled at send time exists nowhere they can read it, and changing it means changing code.</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The composed markup is stored on the template with its placeholders intact, and dispatch renders that column. What the console shows and what the recipient receives are the same string with values substituted.</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Every active email template holds markup containing its placeholders. A record created by dispatch carries the rendered form of the stored markup. Editing the stored markup changes the next email sent.</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In-app templates hold no markup: the feed renders the subject and body itself.</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Keep an Untouched Template on the Platform Design</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Per-template markup would normally freeze each template on the design of the day it was written, so a later improvement would have to be re-applied by hand to every one.</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A template carries a flag saying who maintains its markup. While it is false the markup is regenerated from the shared layout on every save; the first hand edit sets it, after which the markup is kept verbatim. Clearing it restores the standard design.</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Changing the message of a standard template changes its markup. Changing the message of a hand-edited one does not. Saving the regenerated standard markup back is not treated as a hand edit, so an editor that posts its whole form cannot freeze a template by accident.</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A hand-edited template stops inheriting later design changes until somebody resets it.</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Escape Values Into Markup, Never Around It</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Stored markup is rendered as a template, so a value carrying HTML would otherwise reach the recipient as markup. The values come from other modules and can carry anything a user typed.</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The HTML path renders with escaping on: the markup is trusted because staff wrote it, the values substituted into it are not. Subject and plain-text bodies render with escaping off, because escaping there would put entities in front of a reader.</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A context value containing a script tag appears escaped in the delivered HTML and is not executable. This holds for hand-written markup as well, because the rule is in the render rather than in the layout.</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t>FR-008 Show the Author the Real Message Before It Is Sent</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A template is written once and sent thousands of times. The cost of discovering a broken message after the fact is paid by the recipients.</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Preview renders through the same path dispatch uses and needs no payload: sample values are generated from the placeholders the template itself uses. It also accepts unsaved editor content, so the console re-renders as an author types, and returns the markup alongside the rendered copy.</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A preview of any active template returns a complete HTML document. Preview writes nothing: no record is created and no mail is sent. Supplying context overrides the generated samples for those keys only.</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Sample values are representative, not real. A preview cannot prove what a specific recipient will see.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Create a Template for an Event That Has None</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 newly registered event with no template silently sends nothing on that channel. Fixing that should not require a deployment.</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The console lists the event and channel pairs that have no template yet, and creates one against a chosen pair. Creation validates template syntax on every content field, and the pair is unique.</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Only pairs without a template are offered. A duplicate is refused with DUPLICATE_TEMPLATE. Invalid template syntax is refused with a field-level error rather than failing later at send time.</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An event itself cannot be created from the console. An event exists only when code raises it.</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Open the Inbox on What Is Unread</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An inbox ordered by arrival buries what still needs attention under what happens to be newest.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The feed is ordered unread first, then newest first within each group. The read-state filter narrows to one group for the console's tabs, and the unread count drives the badge.</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An unfiltered feed returns unread records before read ones. The order is covered by the existing recipient, channel, read-state and time index.</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None.</w:t>
            </w:r>
          </w:p>
        </w:tc>
      </w:tr>
    </w:tbl>
    <w:p w14:paraId="32BD20E4" w14:textId="77777777" w:rsidR="00A62A3E" w:rsidRDefault="00A62A3E">
      <w:pPr>
        <w:spacing w:after="0"/>
      </w:pPr>
    </w:p>
    <w:p w14:paraId="37B71324" w14:textId="77777777" w:rsidR="00A62A3E" w:rsidRDefault="00000000">
      <w:pPr>
        <w:pStyle w:val="Heading2"/>
        <w:keepNext/>
        <w:pBdr>
          <w:bottom w:val="single" w:sz="8" w:space="5" w:color="355B9D"/>
        </w:pBdr>
      </w:pPr>
      <w:r>
        <w:t>FR-011 Search on the Server, So the Pages Are True</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FR-011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list filtered in the browser reports the page count of the list it was filtered from, so every page after the first describes results the reader is not looking at.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Search is a queryset filter over the rendered subject, the body and the event label, applied before pagination. The delivery history takes the same parameter, extended to the recipient address, where it also satisfies the requirement that the log be narrowed before it is read.</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Pagination totals describe the search result. A search can only ever match the caller's own records. Terms are bounded in length.</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Matching is a case-insensitive substring scan, not ranked or stemmed search.</w:t>
            </w:r>
          </w:p>
        </w:tc>
      </w:tr>
    </w:tbl>
    <w:p w14:paraId="32BD20E4" w14:textId="77777777" w:rsidR="00A62A3E" w:rsidRDefault="00A62A3E">
      <w:pPr>
        <w:spacing w:after="0"/>
      </w:pPr>
    </w:p>
    <w:p w14:paraId="37B71324" w14:textId="77777777" w:rsidR="00A62A3E" w:rsidRDefault="00000000">
      <w:pPr>
        <w:pStyle w:val="Heading2"/>
        <w:keepNext/>
        <w:pBdr>
          <w:bottom w:val="single" w:sz="8" w:space="5" w:color="355B9D"/>
        </w:pBdr>
      </w:pPr>
      <w:r>
        <w:t>FR-012 Record Every Dispatch and Its Outcome</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FR-012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notification nobody can account for cannot be relied on in a dispute, and a failure nobody records is a failure nobody fixes.</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One record is written per recipient per channel, holding the rendered content at the time it was sent. Email moves from PENDING to SENT or FAILED through a Celery task with configurable retries; a failure detected before queueing is recorded as FAILED with its reason and fires the same terminal signal.</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History carries status, retry count and failure reason, scoped to the reader's tenant, and requires at least one filter so the whole log cannot be dumped. Rendered content is stored, so history stays true after a template is edited.</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SENT means the mail was accepted for delivery, not that it reached an inbox. Bounces are not tracked.</w:t>
            </w:r>
          </w:p>
        </w:tc>
      </w:tr>
    </w:tbl>
    <w:p w14:paraId="32BD20E4" w14:textId="77777777" w:rsidR="00A62A3E" w:rsidRDefault="00A62A3E">
      <w:pPr>
        <w:spacing w:after="0"/>
      </w:pPr>
    </w:p>
    <w:p w14:paraId="32BD20E4" w14:textId="77777777" w:rsidR="00A62A3E" w:rsidRDefault="00A62A3E">
      <w:pPr>
        <w:spacing w:after="0"/>
      </w:pPr>
      <w:r/>
    </w:p>
    <w:p w14:paraId="37B71324" w14:textId="77777777" w:rsidR="00A62A3E" w:rsidRDefault="00000000">
      <w:pPr>
        <w:pStyle w:val="Heading2"/>
        <w:keepNext/>
        <w:pBdr>
          <w:bottom w:val="single" w:sz="8" w:space="5" w:color="355B9D"/>
        </w:pBdr>
      </w:pPr>
      <w:r>
        <w:t>FR-013 Keep Queue Evidence Complete Without Filling the Bell</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FR-013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background job row is operational evidence, not automatically a message the owner needs to read. Routine delivery plumbing must stay inspectable without filling the notification feed.</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TrackedTask resolves an absent notification override from the job kind. Imports notify by default because the operator waits for the result. Email and system jobs stay silent. Exports explicitly suppress the generic event because export.run_completed or export.run_failed already carries the run-specific result and email.</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 labelled password-reset-style email job reaches a terminal queue state with notify_owner false and creates no task.completed record. An import still creates the shared result notification. A new user-facing result kind can opt in explicitly. One export produces its domain event without a second generic completion alert.</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Importance is code-owned rather than administrator-configurable. A new task kind must choose an explicit override when its result differs from the default policy.</w:t>
            </w:r>
          </w:p>
        </w:tc>
      </w:tr>
    </w:tbl>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One Dispatch, End to End</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What happens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A module raises an event with its context.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The key is resolved against the active registry, or the call is refused.</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Channels are resolved for the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Tenant row, then platform row, then the event default. Transactional events skip this.</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Templates are fetched for the enabled channels.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An inactive or missing template drops that channel, and says so in the log.</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The message is rendered per recipient.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Subject and body substituted; for email, the stored markup rendered with escaping on.</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Records are written in one batch.</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In-app is SENT immediately. Email is PENDING. A missing address is FAILED before queueing.</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Delivery is queued after commit.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Queued through on_commit, so a rolled-back transaction never sends a phantom message.</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The outcome is recorded.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SENT or FAILED with a reason and retry count, and the matching delivery signal fires.</w:t>
            </w:r>
          </w:p>
        </w:tc>
      </w:tr>
    </w:tbl>
    <w:p w14:paraId="1CC25ED7" w14:textId="77777777" w:rsidR="00A62A3E" w:rsidRDefault="00000000">
      <w:pPr>
        <w:pStyle w:val="Heading2"/>
        <w:keepNext/>
        <w:pBdr>
          <w:bottom w:val="single" w:sz="8" w:space="5" w:color="355B9D"/>
        </w:pBdr>
      </w:pPr>
      <w:r>
        <w:t>5.2 Who Owns a Template's Markup</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State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Design updates</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Standard template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Markup is regenerated from the shared layout whenever the message changes.</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Inherits design changes.</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First hand edit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The template claims its markup and keeps it verbatim from then on.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Stops inheriting.</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Reset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The flag is cleared and the standard markup is regenerated from the current message.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Inherits again.</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Posting unchanged markup</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Treated as no edit, so an editor that returns its whole form changes nothing.</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Inherits.</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NotificationEventType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named events a module may raise.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Seeded from the registry, never created through the API. Carries supported channels, the default, the transactional flag and the kill switch.</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NotificationTemplate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The message for one event and channel.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Subject, body, action button, stored markup and the flag saying who maintains it. Unique per event and channel.</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t>NotificationSetting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Whether a channel fires for an event.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One row per tenant per pair, plus a platform row with no tenant. Constrained so each layer holds at most one.</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Notification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One dispatch to one recipient on one channel.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Holds the rendered content, the status, the failure reason and retry count. Its metadata is internal and is exposed by no serializer.</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Routes are mounted under /v1/notify/. A feed is scoped to the requesting user; templates and the event catalogue are platform-wide; settings and history are scoped to the caller's tenant.</w:t>
      </w:r>
    </w:p>
    <w:p w14:paraId="02D6B058" w14:textId="77777777" w:rsidR="00A62A3E" w:rsidRDefault="00000000">
      <w:pPr>
        <w:pStyle w:val="Heading2"/>
        <w:keepNext/>
        <w:pBdr>
          <w:bottom w:val="single" w:sz="8" w:space="5" w:color="355B9D"/>
        </w:pBdr>
      </w:pPr>
      <w:r>
        <w:t>7.1 The Recipient's Feed</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/notify/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The caller's feed. Filters: read state, event key, dates, and search.</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/notify/{id}/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One record. Anything not the caller's own answers 404.</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GET /notify/unread-count/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The badge count.</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POST /notify/mark-read/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Mark a list of records read. Foreign or email ids are ignored, not reported.</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/notify/mark-all-read/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Mark the whole unread feed read.</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POST /notify/acknowledge-route/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Mark read what the visited destination covers.</w:t>
            </w:r>
          </w:p>
        </w:tc>
      </w:tr>
    </w:tbl>
    <w:p w14:paraId="6C4F2C79" w14:textId="77777777" w:rsidR="00A62A3E" w:rsidRDefault="00000000">
      <w:pPr>
        <w:pStyle w:val="Heading2"/>
        <w:keepNext/>
        <w:pBdr>
          <w:bottom w:val="single" w:sz="8" w:space="5" w:color="355B9D"/>
        </w:pBdr>
      </w:pPr>
      <w:r>
        <w:t>7.2 Templates, Settings, and History</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POST /notify/templates/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List or search templates, or create one.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GET, PATCH /notify/templates/{id}/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Read a template, or change its message, button, markup or state.</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GET, POST /notify/templates/{id}/preview/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Render with sample values, or with unsaved editor content. Writes nothing.</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GET /notify/templates/available-events/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The event and channel pairs that have no template yet.</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/notify/settings/, PATCH /notify/settings/update/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The effective matrix for the caller's scope, and overrides by event and channel.</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/notify/history/, /notify/history/{id}/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Delivery outcomes. At least one filter is required.</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/notify/event-types/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The active event catalogue, readable by any signed-in user.</w:t>
            </w:r>
          </w:p>
        </w:tc>
      </w:tr>
    </w:tbl>
    <w:p w14:paraId="68D44764"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Reading a record that is not the caller's own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404, identical to one that does not exist.</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An unknown or inactive event key at dispatch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UnknownEventTypeError. Nothing is sent.</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Disabling the in-app channel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IN_APP_ALWAYS_ENABLED.</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Configuring a transactional event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TRANSACTIONAL_NOT_CONFIGURABLE.</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A second template for the same event and channel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DUPLICATE_TEMPLATE.</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Invalid template syntax on save or 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INVALID_TEMPLATE_SYNTAX, naming the field.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t>A history request carrying no filter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422, FILTER_REQUIRED.</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A button label with no destination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Refused, naming the destination field.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Supplies the template, settings and audit keys, and the tenant scoping the views enforce.</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3, Identity &amp; Team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Supplies recipients and their tenant. Email-only recipients with no account are supported for invitations.</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6, Configuration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Supplies the email retry count and backoff at execution time, so they change without a deployment.</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Receives the delivery signals that let other modules track what became of a message they raised.</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Platform mail helper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Builds the sender address and sends multipart when markup is present. Attachments and copy lists ride on the record's internal metadata.</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Celery and its broker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Carries email delivery. In-app needs neither, so the feed keeps working when the broker does not.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core task tracker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Records every Celery job and applies the default importance policy before raising task.completed or task.failed.</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THE DESIGN IS NO LONGER OUT OF REACH</w:t>
            </w:r>
          </w:p>
          <w:p w14:paraId="7DFD61F2" w14:textId="77777777" w:rsidR="00A62A3E" w:rsidRDefault="00000000">
            <w:pPr>
              <w:keepNext/>
              <w:spacing w:after="40"/>
            </w:pPr>
            <w:r>
              <w:rPr>
                <w:b/>
                <w:color w:val="94670A"/>
                <w:sz w:val="17"/>
              </w:rPr>
              <w:t>• Five templates carried a hand-written HTML document each and the rest sent plain text, so most mail from the platform was unformatted and none of the design could be read or changed outside the code.</w:t>
            </w:r>
          </w:p>
          <w:p w14:paraId="7DFD61F2" w14:textId="77777777" w:rsidR="00A62A3E" w:rsidRDefault="00000000">
            <w:pPr>
              <w:keepNext/>
              <w:spacing w:after="40"/>
            </w:pPr>
            <w:r>
              <w:rPr>
                <w:b/>
                <w:color w:val="94670A"/>
                <w:sz w:val="17"/>
              </w:rPr>
              <w:t>• Values substituted into markup were not escaped, so a name or a reason carrying HTML would have reached the recipient as markup.</w:t>
            </w:r>
          </w:p>
          <w:p w14:paraId="7DFD61F2" w14:textId="77777777" w:rsidR="00A62A3E" w:rsidRDefault="00000000">
            <w:pPr>
              <w:keepNext/>
              <w:spacing w:after="40"/>
            </w:pPr>
            <w:r>
              <w:rPr>
                <w:b/>
                <w:color w:val="94670A"/>
                <w:sz w:val="17"/>
              </w:rPr>
              <w:t>• Notification search never reached the server, so page counts described the unsearched list, and records sharing a dispatch timestamp could repeat or vanish between pages.</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br/>
              <w:t>• A hand-edited template stops inheriting design changes until it is reset to the standard layout.</w:t>
              <w:br/>
              <w:t>• Delivery preferences are per tenant. A person cannot mute a single event for themselves.</w:t>
              <w:br/>
              <w:t>• SENT records acceptance by the mail provider, not arrival. Bounces and complaints are not tracked.</w:t>
              <w:br/>
              <w:t>• There is no digest or batching: a hundred events raise a hundred messages.</w:t>
              <w:br/>
              <w:t>• Conversation threads, replies, attachments on a notification, muting, SMS and scheduled send are not implemented anywhere, and are not planned in this module.</w:t>
              <w:br/>
              <w:t>• Preview samples are representative values, not one recipient's real data.</w:t>
              <w:br/>
              <w:t>• Background-result importance is code-owned. New task categories need an explicit product decision when their outcome should enter the bell.</w:t>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8 carries 21 capability entries in MRD v2.23.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In-app notification creation and inbox</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FR-003, FR-010</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Email notification delivery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FR-012</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Event-type catalogue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FR-001</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Notification templates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FR-005, FR-009</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Template variable substitution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FR-007, FR-008</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HTML email rendering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FR-005, FR-006</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User notification settings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FR-002</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Effective delivery-preference matrix</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FR-002</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t>Per-school delivery overrides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FR-002</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Delivery history and outcomes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FR-012</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Unread counts and read actions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FR-010</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Notification acknowledgement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FR-010</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Background delivery tasks and retries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FR-012</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Notification audit events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FR-012</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Console-managed email HTML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FR-005</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Standard layout with per-template override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FR-006</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Live template preview with sample data</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FR-008</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Template creation from the console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FR-009</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Unread-first inbox ordering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FR-010</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Server-side notification search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FR-011</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Importance-aware background completion policy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FR-013</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cantSplit/>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23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Separated complete queue tracking from attention-worthy bell delivery. Routine email and system work stays silent, imports keep their shared result notice, exports keep only their richer domain event, and FR-013 records the default and explicit override contract.</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First functional baseline for Module 8, written against the backend at ac4df1d. Records the engine as it now stands: the email markup is stored on the template rather than assembled at send time, a template follows the shared design until somebody edits it, values are escaped into markup, preview renders the real message from generated sample values and from unsaved edits, and the inbox opens on what is unread with search and pagination that agree with each other.</w:t>
            </w:r>
          </w:p>
        </w:tc>
      </w:tr>
    </w:tbl>
    <w:p w14:paraId="36113872" w14:textId="77777777" w:rsidR="00AB1CAE" w:rsidRDefault="00AB1CAE"/>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Notifications &amp; Delivery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Notifications &amp; Delivery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