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br/>
              <w:t>DOCUMENT</w:t>
              <w:br/>
              <w:t>XVision Systems - School Management System</w:t>
              <w:br/>
              <w:t>Prepared by:  CodeX Team        Version:  2.23</w:t>
            </w:r>
          </w:p>
          <w:p w14:paraId="04806C48" w14:textId="77777777" w:rsidR="00B06F99" w:rsidRPr="004B4937" w:rsidRDefault="00000000">
            <w:pPr>
              <w:spacing w:after="120"/>
            </w:pPr>
            <w:r>
              <w:rPr>
                <w:rFonts w:eastAsia="Aptos Narrow" w:cs="Aptos Narrow"/>
                <w:b/>
                <w:bCs/>
                <w:color w:val="FFFFFF"/>
                <w:sz w:val="40"/>
                <w:szCs w:val="40"/>
              </w:rPr>
            </w:r>
          </w:p>
          <w:p w14:paraId="4DC6B07D" w14:textId="77777777" w:rsidR="00B06F99" w:rsidRPr="004B4937" w:rsidRDefault="004B4937">
            <w:r>
              <w:rPr>
                <w:color w:val="FFFFFF"/>
              </w:rPr>
            </w:r>
          </w:p>
          <w:p w14:paraId="5A6D9D4D" w14:textId="77777777" w:rsidR="00B06F99" w:rsidRPr="004B4937" w:rsidRDefault="00000000">
            <w:pPr>
              <w:spacing w:before="60"/>
            </w:pPr>
            <w:r>
              <w:rPr>
                <w:b/>
                <w:bCs/>
                <w:color w:val="DCE6F8"/>
                <w:sz w:val="20"/>
                <w:szCs w:val="20"/>
              </w:rPr>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2.23</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23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Backend worktree at a29ed92 plus notification policy changes (23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446</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5. v2.23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Attention-aware background notifications and removal of routine task noise</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Tenant scope follows the asserted tenant and nothing else. Seniority does not widen it: a platform account reads CodeX's own records, not every tenant's, and reading another tenant's data is done by proxying a user who holds the permission there.</w:t>
            </w:r>
          </w:p>
          <w:p w14:paraId="2D0FC336" w14:textId="77777777" w:rsidR="00472341" w:rsidRDefault="00000000">
            <w:pPr>
              <w:spacing w:after="20"/>
              <w:ind w:left="86" w:hanging="86"/>
            </w:pPr>
            <w:r>
              <w:rPr>
                <w:sz w:val="16"/>
              </w:rPr>
              <w:t>• Billing, adjustments, accounting, and fixed assets are consolidated in vs_finance.</w:t>
            </w:r>
          </w:p>
          <w:p w14:paraId="50C0B56C" w14:textId="77777777" w:rsidR="00472341" w:rsidRDefault="00000000">
            <w:pPr>
              <w:spacing w:after="20"/>
              <w:ind w:left="86" w:hanging="86"/>
            </w:pPr>
            <w:r>
              <w:rPr>
                <w:sz w:val="16"/>
              </w:rPr>
              <w:t>• Collections, payouts, provider webhooks, and settlement services are in vs_payments.</w:t>
            </w:r>
          </w:p>
          <w:p w14:paraId="0BFCE307" w14:textId="77777777" w:rsidR="00472341" w:rsidRDefault="00000000">
            <w:pPr>
              <w:spacing w:after="20"/>
              <w:ind w:left="86" w:hanging="86"/>
            </w:pPr>
            <w:r>
              <w:rPr>
                <w:sz w:val="16"/>
              </w:rPr>
              <w:t>• Vendor, sourcing, purchase-to-pay, and stock services are consolidated in vs_procurement.</w:t>
            </w:r>
          </w:p>
          <w:p w14:paraId="7F9E4181"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p w14:paraId="7F9E4181" w14:textId="77777777" w:rsidR="00472341" w:rsidRDefault="00000000">
            <w:pPr>
              <w:spacing w:after="20"/>
              <w:ind w:left="86" w:hanging="86"/>
            </w:pPr>
            <w:r>
              <w:rPr>
                <w:sz w:val="16"/>
              </w:rPr>
              <w:t>• The shared success envelope returns an empty list as an empty list. It previously coerced any empty collection to an empty object, and every non-paginated list endpoint inherited that shape.</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16</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21</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branch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p w14:paraId="6A0B4D7F" w14:textId="77777777" w:rsidR="00472341" w:rsidRDefault="00000000">
            <w:pPr>
              <w:spacing w:after="20"/>
              <w:ind w:left="86" w:hanging="86"/>
            </w:pPr>
            <w:r>
              <w:rPr>
                <w:sz w:val="16"/>
              </w:rPr>
              <w:t>• The school estate list validates its filters and then returns a hardcoded empty body, so a caller cannot tell an unbuilt endpoint from an empty estate. The landing screen's own school count is separate and works. Build the items or withdraw the route.</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 xml:space="preserve">Authentication, invitations, account security, sessions, platform staff, and organization-position structures. Which side of the platform boundary a person sits on is read from their tenant; the User.user_type persona column that used to shadow it is gone, and a new account now lands in the acting user's own tenant rather than in one the request body names.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xml:space="preserve">▸  Tenant boundary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Pending password-reset queue, tenant-named and tenant-filterable</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 xml:space="preserve">Two-layer platform and school authorization with reusable permission definitions, roles, templates, assignments, and controlled overrides. Every permission and permission group now declares whether it is a platform key or a tenant key, and a platform key granted inside a tenant is refused on the role path and the override path alike.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 xml:space="preserve">CURRENT DECISION • No material capability gap was identified within this module's stated backend scope. • A privilege escalation that ran through this module is closed: until 19 August 2026 nothing stopped a school role or a per-user override carrying a platform key, so a school administrator could grant themselves cross-tenant reach. The boundary is now a declared scope on the permission rather than a convention about its name.</w:t>
            </w:r>
          </w:p>
          <w:p w14:paraId="27F916CD" w14:textId="77777777" w:rsidR="00472341" w:rsidRDefault="00000000">
            <w:pPr>
              <w:spacing w:after="20"/>
              <w:ind w:left="86" w:hanging="86"/>
            </w:pPr>
            <w:r>
              <w:rPr>
                <w:sz w:val="16"/>
              </w:rPr>
              <w:t xml:space="preserve"/>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Importance-aware background completion policy</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branch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branch, and a goods receipt lands at the receiving branch's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v2.23 Documentation Delta</w:t>
      </w:r>
    </w:p>
    <w:p w14:paraId="4C4A5E5A" w14:textId="77777777" w:rsidR="00472341" w:rsidRDefault="00000000">
      <w:pPr>
        <w:spacing w:after="100" w:line="240" w:lineRule="auto" w:before="0"/>
      </w:pPr>
      <w:r>
        <w:t>This revision separates operational queue tracking from notification importance. Every attributed background job still appears in View Queues, but routine email and system plumbing no longer creates a generic completion alert. Imports keep the shared completion notification because the operator is waiting for their result. Exports keep only their richer ready or failed event, which already carries the run link, row count, omissions and email delivery, so one finished export produces one useful bell item rather than two. Module 8 gains one capability entry for the importance-aware completion policy, taking the document from 445 to 446 entries. Module states, ownership, priority gaps and build order are unchanged.</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v2.23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attributed task used to ring the bell by default</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TrackedTask now treats queue visibility and notification importance as separate decisions. A missing _job_notify value resolves from the job kind instead of becoming True for every labelled task.</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Routine delivery jobs clogged the notification feed</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Password-reset, invitation, receipt and task-review email jobs remain owned, timed and inspectable in View Queues, but email and system kinds are silent unless a caller explicitly marks a new result as notification-worthy.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Imports still need a completion signal</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Preserved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Import is the one shared task kind that notifies by default. The operator started a long-running data change and is waiting for the result, so task.completed or task.failed remains appropriate.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Exports produced two alerts for one outcome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export queue row now opts out of the generic task event. export.run_completed or export.run_failed remains the single in-app result and email, with the run-specific link and useful outcome detail.</w:t>
            </w:r>
          </w:p>
        </w:tc>
      </w:tr>
      <w:tr>
        <w:tc>
          <w:tcPr>
            <w:tcW w:type="dxa" w:w="2520"/>
          </w:tcPr>
          <w:p>
            <w:r>
              <w:t>Module 8 records the policy as a capability</w:t>
            </w:r>
          </w:p>
        </w:tc>
        <w:tc>
          <w:tcPr>
            <w:tcW w:type="dxa" w:w="1368"/>
          </w:tcPr>
          <w:p>
            <w:r>
              <w:t>Added</w:t>
            </w:r>
          </w:p>
        </w:tc>
        <w:tc>
          <w:tcPr>
            <w:tcW w:type="dxa" w:w="6580"/>
          </w:tcPr>
          <w:p>
            <w:r>
              <w:t>The Notifications and Delivery capability list gains importance-aware background completion policy. The total rises from 445 to 446; no status, gap or build-order decision changes.</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rPr>
          <w:cantSplit/>
        </w:trP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Separated View Queues from bell importance. Routine email and system jobs remain tracked but no longer create generic completion alerts; imports keep their shared result notice; exports keep only their domain-specific ready or failed event and email. Module 8 gains one capability and the document moves from 445 to 446 entries. No module state, ownership,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Closed two cross-tenant reads, neither of them a listed gap. Both were the same mistake twice: a query deciding tenant visibility by itself, next to a permission check that made it look guarded. First, the finance entity list exempted a platform caller from its tenant filter while resolve_entity, which every entity-scoped endpoint uses, exempted nobody. The console listed every school's set of books and then refused to open any of them, so the visible symptom was a broken picker rather than the disclosure underneath it. One function now answers for both, and the rule it states is that scope follows the asserted tenant alone: reading another tenant's ledger is done by proxying a user who holds the finance key there, so the books are always read as someone entitled to them and the act is attributable. A test asserting that platform staff see every entity had been holding the old behaviour in place and now asserts the rule. Second, nine counts on the console overview carried their permission gate without a tenant filter, across finance, procurement and payments; the fiscal-runway signal returned a name, so a school's dashboard could report a different school's fiscal position. The endpoint's own docstring promised that a section the caller cannot fetch directly is omitted rather than leaked, and these nine broke that promise. Scoping the webhook count leaves events attached to no collection or payout counted for nobody, which is deliberate rather than overlooked. Module numbering, the status model, every backend and integration state, every ownership entry, the priority gaps and the build order are unchanged, and the document stays at 31 modules and 445 capability entries. Module 19's FRD advances to v1.3 in step, and Module 2 gains its first FRD at v1.0, whose writing surfaced an unrecorded gap: the school estate list validates its filters and returns a hardcoded empty body. Module 2 stays Backend Complete and carries the defect in its needs-attention note.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2.21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Repaired a security queue that had never returned anything, and corrected the empty-list response shape every module shares. The pending password-reset list answered HTTP 500 to every caller from the day it shipped, because the view called the success envelope without the message argument it required. Fixing that exposed the wider fault: the envelope turned an empty list into an object, so the no-rows case of every non-paginated list endpoint returned a shape its callers could not iterate, and the console crashed on the first screen to meet one. The message is now optional and an empty list stays a list. The queue also names the tenant on every row and narrows to one on request, and two school profile permission keys that sat in no group were placed in the catalogue.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Document-only patch. Retired the word campus from the text describing current behaviour, in favour of branch. Campus had drifted in as a synonym for the site primitive, which is vs_tenants.Branch, and it appeared in Module 1's summary, in Module 24's needs-attention note, and in the M22-M24 priority gap. The change-log entry for v2.13 is left exactly as written: it records what that revision said, and correcting it would make this document misreport its own history. No module status, capability entry, count, ownership, dependency, gap or build-order item changed; the document remains at 31 modules and 444 capability entries.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XVS Module Requirements Document v2.20.1</vt:lpstr>
      </vt:variant>
      <vt:variant>
        <vt:i4>1</vt:i4>
      </vt:variant>
    </vt:vector>
  </HeadingPairs>
  <TitlesOfParts>
    <vt:vector size="1" baseType="lpstr">
      <vt:lpstr>XVS Module Requirements Document v2.20.1</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v2.20.1</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2026-08-21T12:00:00Z</dcterms:modified>
  <cp:version>2.20.1</cp:version>
</cp:coreProperties>
</file>