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2.101</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2.101</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Local backend finance-handoff worktree based on e111fa4b, 8 October 2026. Closed-figures wording and the statutory-pack response and downloads are verified locally. No deployment or production adoption is claimed.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512</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Two module FRDs reconciled; no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Documented by M01 FRD v1.31.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v1.32.</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of every message is the platform's. Documented by M08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v1.13.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v2.18.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Documented by M19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Documented by M22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Documented by M23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finance filing contract adds four explicit statement windows to the statutory-pack response and uses them unchanged in CSV, XLSX and PDF. The downloads include the same cash-flow and changes-in-equity summaries as the response. Existing capability counts, module statuses and the 31-module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31-module taxonomy remain unchanged. The work deepens implemented contracts and removes the recorded cross-branch adjustment, shared-sourcing, returned-document, and branch-close gaps.</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2.101</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2.100</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7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2.99</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2.98</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 Oct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2.97</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v2.99</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2.99</cp:version>
</cp:coreProperties>
</file>