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
              <w:rPr>
                <w:b w:val="0"/>
                <w:sz w:val="16"/>
              </w:rPr>
              <w:t>M02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
              <w:rPr>
                <w:b w:val="0"/>
                <w:sz w:val="16"/>
              </w:rPr>
              <w:t>1.10</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
              <w:rPr>
                <w:b w:val="0"/>
                <w:sz w:val="16"/>
              </w:rPr>
              <w:t>14 October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
              <w:rPr>
                <w:b w:val="0"/>
                <w:sz w:val="16"/>
              </w:rPr>
              <w:t>850e5b45 (14 October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
              <w:rPr>
                <w:b w:val="0"/>
                <w:sz w:val="16"/>
              </w:rPr>
              <w:t>XVS Module Requirements Document v2.106 | Module M02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Task-monitor readers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platform.tasks.view for the redacted queue, held by both platform roles. platform.tasks.view_all widens it beyond the reader's own tenant and platform.tasks.view_sensitive opens raw failure text; both are CRITICAL and seeded to the Super Admin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start locks both the asserted Tenant and the actor row with select_for_update. The Tenant is rechecked as ACTIVE or PENDING while locked, so it serializes with lifecycle shutdown; two simultaneous starts serialize on the actor. Validation runs before replacing an existing proxy, and the old sessions end before the new one is created inside the same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Each replaced session emits its own end event. If Tenant shutdown wins the shared lock, start observes the non-authenticable status and refuses creation; if start wins, the following shutdown ends the session it created.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end_impersonations_for_user ends sessions where the changed user is either actor or target. Tenant status writers call transition_tenant_status instead of relying on post-save signals. The service locks the Tenant, writes status and lifecycle stamps, and ends every active proxy scoped to a non-ACTIVE Tenant in the same transaction. School mirroring, onboarding expiry, and orphaned-School reinstatement all use it. start takes the same Tenant lock and rechecks the status, closing the race between session creation and shutdown.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User and Tenant shutdown are bulk and idempotent. Tenant status and proxy shutdown commit or roll back together. An old session remains ENDED after reactivation and its header answers 401; a racing new start is either ended by the transition or refused after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holding platform.tasks.view must be able to see what the background workers have been doing and what failed, without that view carrying anybody's personal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monitor reads core.BackgroundJob, which TrackedTask writes for every Celery run, and serves a filtered list, per-run detail and aggregate statistics. The schedule view reports the configured beat entries together with the execution mode, whether a broker is configured, and - derived from the same table - when each scheduled task last actually ran, which entries have never run at all, and whether any of them ever has.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Listing the schedule proves only that somebody wrote it down. A deployment running Celery in eager mode has a full, correct-looking schedule and has never executed one line of it, because eager mode has no beat scheduler; the last-run and never-run fields are what tell the two apart. A task that started and then failed still counts as evidence the scheduler fired, because the question is whether beat is alive rather than whether the work succeeded.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 reports the condition; it does not fix it. This deployment runs in eager mode, so no scheduled task runs at all - recorded as a P0 gap in the MRD and reported at every management command by system check core.W001.</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FR-016  Gate the Task Monitor on a Permission, Not a Login Flag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the task monitor must require a granted permission and a platform-tenant caller, never Django's is_staff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viewset composes IsAuthenticatedAndActive, vs_rbac's IsVisionStaff and HasRBACPermission, and declares platform.tasks.view. This module's own IsVisionStaff, which checked is_staff and shared a name with the platform's real class, is deleted along with the unused StaffReadOnlyOrSuperuserWrite beside it. All three platform.tasks.* keys are PLATFORM-scoped, so assert_tenant_may_hold refuses the grant inside a school role a layer before the endpoint is reached.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is_staff already means permission to log into the Django admin, and UserCreationService sets it for every account created on the platform tenant. Reusing it as an authorisation decision means any future grant of admin access silently grants this console too, and a new hire with no role assignment could read every tenant's failures on their first morning. The tenant-kind check sits beside the key because a key living in the platform namespace is a convention, not a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The two dangerous keys are seeded to the Super Admin alone; a platform admin holds only the redacted view.</w:t>
            </w:r>
          </w:p>
        </w:tc>
      </w:tr>
    </w:tbl>
    <w:p>
      <w:pPr>
        <w:pStyle w:val="Heading2"/>
        <w:spacing w:before="220" w:after="120" w:line="240" w:lineRule="auto"/>
        <w:keepNext/>
        <w:pBdr>
          <w:bottom w:val="single" w:sz="8" w:space="5" w:color="355B9D"/>
        </w:pBdr>
      </w:pPr>
      <w:r>
        <w:rPr>
          <w:rFonts w:ascii="Aptos Narrow" w:hAnsi="Aptos Narrow"/>
          <w:b/>
          <w:color w:val="000000"/>
          <w:sz w:val="27"/>
        </w:rPr>
        <w:t>FR-017  Redact Failure Text Where Every Task Finishes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Task errors, tracebacks and results must not carry personal data into storage, backups or any surface that serves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TrackedTask._finish passes all three through core.redaction before saving, so a duplicated guardian import stores Key (email)=([redacted]) rather than the address Postgres quoted. The same scrub is installed as a logging filter on every handler, covering the formatted exception text that logger.warning(..., exc_info=True) would otherwise carry into the log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task cannot know whether its own exception message carries personal data, because it did not write that text: Postgres composes the duplicate-key detail and smtplib composes the refusal. Redacting per caller would need every task on the platform to remember, and every task added afterwards. The single point every task finishes at is the only place the rule can actually hold - which is why two other readers of the same column, the owner's completion notification and the school-facing queue at /v1/user/me/tasks/, were corrected without being edited.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patterns over-redact deliberately, so a long invoice reference is masked like an account number would be. The faithful transcript is the diagnostic record, not this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FR-018  Open Raw Failure Text to One Key, and Record Every 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error and traceback must stay reachable for engineering and audit, addressed one run at a time, behind their own key, with each read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core.TaskDiagnostic holds the raw text for failed runs only. Nothing lists it; GET /admin/tasks/{id}/diagnostics/ serves one row and requires platform.tasks.view_sensitive, and each read emits a TASK_DIAGNOSTIC_VIEWED audit event naming the actor. Retention is 400 days against the queue's 90, stamped per row at write time and pruned nightly.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Redaction moves the raw text to a controlled surface rather than destroying it, which is what keeps a 2am incident debuggable and an investigation possible after the host's own log retention has expired. The event is filed against the job's tenant rather than the reader's: a school asking who read their data is asking about their own trail, and filing it under the platform would put the answer where they cannot see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run has no diagnostic, and a failure's record is gone once its window closes; both answer 404, which the list anticipates through has_diagnostic.</w:t>
            </w:r>
          </w:p>
        </w:tc>
      </w:tr>
    </w:tbl>
    <w:p>
      <w:pPr>
        <w:pStyle w:val="Heading2"/>
        <w:spacing w:before="220" w:after="120" w:line="240" w:lineRule="auto"/>
        <w:keepNext/>
        <w:pBdr>
          <w:bottom w:val="single" w:sz="8" w:space="5" w:color="355B9D"/>
        </w:pBdr>
      </w:pPr>
      <w:r>
        <w:rPr>
          <w:rFonts w:ascii="Aptos Narrow" w:hAnsi="Aptos Narrow"/>
          <w:b/>
          <w:color w:val="000000"/>
          <w:sz w:val="27"/>
        </w:rPr>
        <w:t>FR-019  Narrow the Task Monitor to the Tenants the Reader May See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list, its detail and its statistics must not show a reader another customer's runs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get_queryset filters BackgroundJob.tenant against visible_tenant_ids, which returns every tenant only for a holder of platform.tasks.view_all and the reader's own tenant otherwise. ?for_tenant= accepts a slug or an id and narrows within that; an unknown value narrows to nothing rather than being ignored. The stats aggregates are built from the same queryset.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queryset previously applied no tenant condition at all, so an agent working one school's ticket paged through the others to find it, and unscoped totals leaked the size of tenants the reader could not list. The filter is ?for_tenant= and cannot be ?tenant=: that name belongs to the authentication layer's tenant assertion, and this viewset does not accept a foreign one - so reading it as a filter narrowed every caller to their own tenant and would have shown a view_all holder no school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platform-wide or own-tenant with nothing between; an operator cannot be confined to the schools they cover, because a platform-scoped key cannot be granted inside a tenant role.</w:t>
            </w:r>
          </w:p>
        </w:tc>
      </w:tr>
    </w:tbl>
    <w:p>
      <w:pPr>
        <w:pStyle w:val="Heading2"/>
        <w:spacing w:before="220" w:after="120" w:line="240" w:lineRule="auto"/>
        <w:keepNext/>
        <w:pBdr>
          <w:bottom w:val="single" w:sz="8" w:space="5" w:color="355B9D"/>
        </w:pBdr>
      </w:pPr>
      <w:r>
        <w:rPr>
          <w:rFonts w:ascii="Aptos Narrow" w:hAnsi="Aptos Narrow"/>
          <w:b/>
          <w:color w:val="000000"/>
          <w:sz w:val="27"/>
        </w:rPr>
        <w:t>FR-020  Answer Whether a Tenant Has Books at All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platform operator must be able to see, for every tenant, whether a set of books exists and whether it is usable, without opening a database shell and without seeing anyone's figures.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/admin/finance/entities/ is gated on platform.schools.view and returns one row per Tenant, ordered by name, carrying the tenant's slug, kind and status alongside the LedgerEntity rows it owns: code, name, kind, reporting currency and active state. has_books is hoisted onto the row so a screen can sort or filter on it without walking the list. The console renders it on Setup, Entities, beneath the caller's own entities, with a filter for the tenants that have none.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with no entities is present with an empty list rather than absent. That row is the difference between never provisioned and provisioned but broken, which are indistinguishable from the school's own side and were previously only separable in a shell. No field in the response names or carries an amount, and a test asserts that none can appear; vs_finance.views.visible_entities is unchanged and still scoped by asserted tenant, so this route widens nobody's reach into a ledger. Nine tests cover it and lead with the refusals: platform.schools.view is PermissionScope.PLATFORM, so a school tenant is refused the grant at the model, and a school administrator is refused at the 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inventory reports existence, not health. It does not say whether a chart of accounts was created, whether a fiscal calendar is open, or whether anything has ever posted, so a set of books that exists but cannot accept a journal still reads as provisioned.</w:t>
            </w:r>
          </w:p>
        </w:tc>
      </w:tr>
    </w:tbl>
    <w:p>
      <w:pPr>
        <w:pStyle w:val="Heading2"/>
        <w:spacing w:before="220" w:after="120" w:line="240" w:lineRule="auto"/>
        <w:keepNext/>
        <w:pBdr>
          <w:bottom w:val="single" w:sz="8" w:space="5" w:color="355B9D"/>
        </w:pBdr>
      </w:pPr>
      <w:r>
        <w:t xml:space="preserve">FR-021  Manage Subscription Catalogue Rates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An authorized platform operator must be able to review and change the per-student catalogue rates used for future school agreements without changing saved agreements or historical invoices.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The platform Settings console exposes Subscription pricing to platform.schools.view holders and permits writes only with platform.schools.configure. PATCH /v1/i/package-plans/{code}/price/ accepts a positive minor-unit rate for Basic, Standard and Premium, refuses an Enterprise catalogue rate, and emits a CONFIG UPDATE audit event with before and after values.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A reader sees Basic, Standard, Premium and Enterprise. An editor can change a fixed tier and receives the saved value; a reader receives 403 on the same write. Enterprise remains a per-school quote. A catalogue change affects only school agreements created or changed afterwards.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There is no effective-date schedule for future catalogue changes; a permitted edit takes effect immediately for subsequent agreements.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both the Tenant and the actor, ends whatever session the actor already held, and creates the new one. It ends when the actor exits, an end-key holder terminates it, the sweep expires it, an account becomes unusable, or the Tenant leaves ACTIVE. The Tenant transition and proxy shutdown share one transaction, and session start shares the Tenant lock, so suspension cannot leave a session active or miss one created concurrently. Returning the Tenant to ACTIVE never reopens an ended session.</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 /admin/tasks/schedule/</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redacted and tenant-scoped. Requires platform.tasks.view and a platform-tenant caller.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run, adding the redacted result and error. Still no traceback. Same key as the list.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/admin/tasks/{id}/diagnostics/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raw error, traceback and result for one failed run. Requires platform.tasks.view_sensitive and writes an audit event naming the reader.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/admin/finance/entities/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tenant with the ledger entities it owns, its reporting currency and a has_books flag. platform.schools.view. Carries no figure: reading a tenant's numbers stays on the proxying route.</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production Tenant-status writer calls transition_tenant_status. It owns the locked state write, pending-period stamps, lifecycle timestamps, and transactional proxy shutdown. Proxy start locks the same Tenant row before rechecking status and creating a session.</w:t>
            </w:r>
          </w:p>
        </w:tc>
      </w:tr>
    </w:tbl>
    <w:p>
      <w:r>
        <w:br w:type="page"/>
      </w:r>
    </w:p>
    <w:p>
      <w:pPr>
        <w:pStyle w:val="Heading2"/>
      </w:pPr>
      <w:r>
        <w:t>D83-D102 Current Contracts</w:t>
      </w:r>
    </w:p>
    <w:p>
      <w:pPr/>
      <w:r>
        <w:t>These contracts state current behavior at the committed evidence boundary and replace an earlier sentence wherever the two disagree.</w:t>
      </w:r>
    </w:p>
    <w:p>
      <w:r>
        <w:t>CodeX operators maintain national payroll tax tables and statutory reference data under platform-only finance.statutory.create and finance.statutory.update keys. The data is versioned by calendar year and is not tenant-owned configuration.</w:t>
      </w:r>
    </w:p>
    <w:p>
      <w:r>
        <w:t>Platform payment operators list and submit held settlements across client tenants. Two distinct CodeX people approve release, and platform health and settlement operators receive held-ledger mismatch and dispute notices.</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Retention controls: </w:t>
      </w:r>
      <w:r>
        <w:t>Platform delete-user and delete-entity operations refuse removal when retained financial records or audit evidence still depend on the person or books. The remedy is deactivation, so history remains attributable.</w:t>
      </w:r>
    </w:p>
    <w:p>
      <w:pPr>
        <w:keepLines/>
      </w:pPr>
      <w:r>
        <w:t xml:space="preserve">• </w:t>
      </w:r>
      <w:r>
        <w:rPr>
          <w:b/>
        </w:rPr>
        <w:t xml:space="preserve">Operator evidence: </w:t>
      </w:r>
      <w:r>
        <w:t>The requirements library continues to expose versioned MRD and FRD files. This revision records the D103-D132 evidence boundary without claiming deployment or frontend adoption.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Platform school reads govern subscription pricing through platform-scoped Field Access. School-facing switches never govern CodeX platform staff acting on platform records.</w:t>
      </w:r>
    </w:p>
    <w:p>
      <w:pPr>
        <w:spacing w:after="60"/>
      </w:pPr>
      <w:r>
        <w:t>• Console overview signals are tenant-scoped before aggregation, closing cross-tenant count and status leaks.</w:t>
      </w:r>
    </w:p>
    <w:p>
      <w:pPr>
        <w:spacing w:after="60"/>
      </w:pPr>
      <w:r>
        <w:t>• The platform export boundary distinguishes tenant-owned school-user exports from the platform-only cross-tenant user export.</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FURTHER GAPS</w:t>
              <w:br/>
              <w:t>• Privileged access to this console does not require MFA. It is the platform's operator surface and the entry point to proxying, which makes it the strongest candidate for the requirement, and it is tracked as a P0 in the MRD.</w:t>
              <w:br/>
              <w:t>• The platform-actor gate is applied per view. A new globally scoped surface must remember it; nothing enforces it across the app.</w:t>
              <w:br/>
              <w:t>• Justification on a proxy session defaults to a fixed string, so the field is always populated but not always informative.</w:t>
              <w:br/>
              <w:t>• Task-monitor scope is platform-wide or the reader's own tenant, with nothing between. An operator cannot be confined to the schools they actually cover, because a platform-scoped permission cannot be granted inside a tenant role, so giving somebody one school's runs means giving them every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13 capability entries in MRD v2.50. Each maps to the requirements below. Transactional Tenant-lifecycle shutdown strengthens the existing impersonation termination capability without changing the count.</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 FR-016,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 FR-016</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Redacted task failure text with audited raw access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Tenant-scoped task monitor with per-run detail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Scheduled-task liveness evidence</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Platform-wide ledger provisioning inventory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FR-020</w:t>
            </w:r>
          </w:p>
        </w:tc>
      </w:tr>
      <w:tr>
        <w:tc>
          <w:tcPr>
            <w:tcW w:type="dxa" w:w="5184"/>
          </w:tcPr>
          <w:p>
            <w:r>
              <w:t>Subscription pricing settings for future school agreements</w:t>
            </w:r>
          </w:p>
        </w:tc>
        <w:tc>
          <w:tcPr>
            <w:tcW w:type="dxa" w:w="5284"/>
          </w:tcPr>
          <w:p>
            <w:r>
              <w:t>FR-021</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c>
          <w:tcPr>
            <w:tcW w:type="dxa" w:w="1152"/>
          </w:tcPr>
          <w:p>
            <w:r>
              <w:t>1.9</w:t>
            </w:r>
          </w:p>
        </w:tc>
        <w:tc>
          <w:tcPr>
            <w:tcW w:type="dxa" w:w="1512"/>
          </w:tcPr>
          <w:p>
            <w:r>
              <w:t>10 October 2026</w:t>
            </w:r>
          </w:p>
        </w:tc>
        <w:tc>
          <w:tcPr>
            <w:tcW w:type="dxa" w:w="7804"/>
          </w:tcPr>
          <w:p>
            <w:r>
              <w:t>Adds FR-021 for the audited Subscription pricing settings section, read and write permission split, fixed-tier validation and quoted Enterprise behavior. Aligns with MRD v2.104.</w:t>
            </w:r>
          </w:p>
        </w:tc>
      </w:tr>
      <w:tblGrid>
        <w:gridCol w:w="1152"/>
        <w:gridCol w:w="1512"/>
        <w:gridCol w:w="7804"/>
      </w:tblGrid>
      <w:tr>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r/>
            <w:r>
              <w:rPr>
                <w:b w:val="0"/>
                <w:sz w:val="14"/>
              </w:rPr>
              <w:t>1.10</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r/>
            <w:r>
              <w:rPr>
                <w:b w:val="0"/>
                <w:sz w:val="14"/>
              </w:rPr>
              <w:t>14 October 2026</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r/>
            <w:r>
              <w:rPr>
                <w:b w:val="0"/>
                <w:sz w:val="14"/>
              </w:rPr>
              <w:t>Reconciles the queued platform, Field Access, search and product contracts through 850e5b45 (14 October 2026). Aligns with MRD v2.106. Backend evidence only; no deployment claim.</w:t>
            </w:r>
          </w:p>
        </w:tc>
      </w:tr>
      <w:tr>
        <w:tc>
          <w:tcPr>
            <w:tcW w:type="dxa" w:w="1152"/>
          </w:tcPr>
          <w:p>
            <w:r>
              <w:t>1.9</w:t>
            </w:r>
          </w:p>
        </w:tc>
        <w:tc>
          <w:tcPr>
            <w:tcW w:type="dxa" w:w="1512"/>
          </w:tcPr>
          <w:p>
            <w:r>
              <w:t>10 October 2026</w:t>
            </w:r>
          </w:p>
        </w:tc>
        <w:tc>
          <w:tcPr>
            <w:tcW w:type="dxa" w:w="7804"/>
          </w:tcPr>
          <w:p>
            <w:r>
              <w:t>Adds FR-021 for the audited Subscription pricing settings section, read and write permission split, fixed-tier validation and quoted Enterprise behavior. Aligns with MRD v2.104.</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1.8</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7 October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Oct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FR-020, the platform-wide inventory of which tenants have books. GET /admin/finance/entities/ answers whether a set of books exists and whether it is usable, for every tenant, and lists a tenant with none rather than omitting it, so never provisioned is separable from provisioned but broken without a database shell. Gated on platform.schools.view, carrying no monetary field, and leaving visible_entities untouched, so nobody's reach into a ledger widens. Records the route in section 7 and the capability in section 10, and moves the source MRD to v2.57. Also corrects the cover of v1.5, which carried a 1.4 version label.</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that the scheduled-task view now answers whether the scheduler is alive rather than only what it was configured to do. FR-012 gains the last-run time per beat entry, the list of entries that have never run, and a single alive flag, all derived from the run table the monitor already reads. The deployment runs Celery in eager mode, which has no beat scheduler, so every periodic task is currently inert; that is now visible here and in system check core.W001, and is carried as a P0 gap in the MRD.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proxy-session revival defect in Tenant lifecycle changes. The post-save receiver is removed as the security boundary. transition_tenant_status now locks the Tenant, writes its lifecycle state and ends active impersonation sessions in one transaction; School mirroring, onboarding expiry and orphaned-School reinstatement all call it. Proxy start takes the same Tenant lock and rechecks that the Tenant is authenticable, so a start racing shutdown is either created first and then ended or refused after the status change. A suspended and later reactivated Tenant cannot revive the old session, whose header answers 401. FR-007, FR-010, the proxy workflow, the Tenancy dependency and MRD traceability are reconciled. Module 2 remains Backend Complete and In use Complete with thirteen capability entries. Verified by 165 vs_admin_console tests, 308 schools.vs_schools tests, and 58 onboarding lifecycle tests.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Renames FR-019's tenant filter and records why it could never have been ?tenant=. That name is the assertion TenantJWTAuthentication requires, naming the tenant the caller is acting in, and this viewset does not set platform_cross_tenant_param - so a CodeX operator must assert codex or be refused. Reading it as a row filter meant a Super Admin holding platform.tasks.view_all would have sent ?tenant=codex like everybody else and watched the platform-wide list they hold a CRITICAL key for collapse to the platform's own system jobs, showing no school. The filter is ?for_tenant=, resolved through core.tenant_filters, which the health module's task list now shares - the same conflation there filtered an integer foreign key by a slug and answered HTTP 500 to every caller it ever had. No permission, scope rule, response shape or requirement state changes; FR-019 keeps its Implemented state and the module keeps its thirteen capability entries.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Closed the task monitor's authorization gap and stopped the platform storing what it exposed. FR-012's recorded limit - a staff flag rather than an RBAC key - turned out to understate the problem: this module defined its own IsVisionStaff checking Django's is_staff, which shadowed the platform's real class of that name, so the call site read as the platform boundary while asking a far weaker question, and is_staff is set for every account on the platform tenant. The list also returned every tenant's runs with each row's result, error and full traceback, and a Postgres duplicate-key error quotes the value that collided, so a guardian's email address rendered there for any CodeX account. FR-016 replaces the gate with platform.tasks.view and a platform-tenant check and deletes both shadow classes; FR-017 redacts failure text where every task finishes, which also cleaned the owner's completion notification and the school-facing queue without either being edited; FR-018 keeps the raw text in an audited store read one run at a time on platform.tasks.view_sensitive and held 400 days; FR-019 scopes the queryset and its stats to the tenants the reader may see. FR-012 is rewritten around the redacted list and keeps its Implemented state. Two MRD capabilities are added and one gap replaces the one that closed.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M02 XVision Admin Console Functional Requirements Document v1.4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M02 XVision Admin Console Functional Requirements Document v1.7</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1.7</cp:version>
</cp:coreProperties>
</file>