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1.9</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14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850e5b45 (14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XVS Module Requirements Document v2.106 | Module 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Searchable settings derive their names from each module's existing label source, and a setting appears only when the caller can open its screen and the plan reaches it.</w:t>
      </w:r>
    </w:p>
    <w:p>
      <w:pPr>
        <w:spacing w:after="60"/>
      </w:pPr>
      <w:r>
        <w:t>• A mandatory-field settings rule yields when the caller cannot write that field, so a hidden or read-only setting is never demanded in a submission.</w:t>
      </w:r>
    </w:p>
    <w:p>
      <w:pPr>
        <w:spacing w:after="60"/>
      </w:pPr>
      <w:r>
        <w:t>• Payroll payment route, attendance settings, Gradebook settings and Paystack custody dependencies are typed tenant settings with the ownership and validation rules stated in their module contracts.</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dc:subject>Code-aligned functional requirements for XVS Module 6</dc:subject>
  <dc:creator>CodeX Team</dc:creator>
</cp:coreProperties>
</file>