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2.18</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850e5b45 (14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XVS Module Requirements Document v2.106 | Module M09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pStyle w:val="Heading2"/>
        <w:spacing w:before="220" w:after="120" w:line="240" w:lineRule="auto"/>
        <w:keepNext/>
        <w:pBdr>
          <w:bottom w:val="single" w:sz="8" w:space="5" w:color="355B9D"/>
        </w:pBdr>
      </w:pPr>
      <w:r>
        <w:t xml:space="preserve">FR-017  Start the Subscription at Creation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t>A school must enter onboarding with a dated subscription agreement and a platform receivables customer, not as an unpriced tenant that Finance must repair later.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 creation payload requires subscription_starts_at and billing email, phone and address. The console defaults the start date to the registration day. The creation transaction snapshots the selected tier's price or Enterprise quote and completes the required customer-registration step before books and onboarding are considered complete.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Greenfield registered on 10 October starts on 10 October unless the operator deliberately chooses another date. A missing contact or start date is refused before creation. A failed customer write leaves no School, Tenant or onboarding control room behind.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onboarding checklist does not include a separate billing step because the required contract is completed during creation.</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2"/>
      </w:pPr>
      <w:r>
        <w:t>D83-D102 Current Contracts</w:t>
      </w:r>
    </w:p>
    <w:p>
      <w:pPr/>
      <w:r>
        <w:t>These contracts state current behavior at the committed evidence boundary and replace an earlier sentence wherever the two disagree.</w:t>
      </w:r>
    </w:p>
    <w:p>
      <w:r>
        <w:t>Onboarding email dates, expiry times and days-remaining calculations use the school's own day and display preferences. Stored deadlines remain ISO values.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Default removals: </w:t>
      </w:r>
      <w:r>
        <w:t>Permission reseeding preserves keys a school deliberately removed from its role defaults. Onboarding and catch-up therefore add new registered keys without silently reversing a school administrator decision.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ownership follows tenant kind: admin.users is tenant-only, the cross-tenant user export is platform-only, and CodeX organogram packages remain portable platform artifacts.</w:t>
      </w:r>
    </w:p>
    <w:p>
      <w:pPr>
        <w:spacing w:after="60"/>
      </w:pPr>
      <w:r>
        <w:t>• Export filters and sorts are judged by Field Access. A hidden single-field filter is refused, hidden search columns are ignored, and catalogue and Filters sheets do not echo hidden values.</w:t>
      </w:r>
    </w:p>
    <w:p>
      <w:pPr>
        <w:spacing w:after="60"/>
      </w:pPr>
      <w:r>
        <w:t>• Attendance and Gradebook are live-school activities with no pending-tenant surface. Their readiness does not weaken the onboarding gate.</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c>
          <w:tcPr>
            <w:tcW w:type="dxa" w:w="6263"/>
          </w:tcPr>
          <w:p>
            <w:r>
              <w:t>Dated subscription and platform customer present before onboarding</w:t>
            </w:r>
          </w:p>
        </w:tc>
        <w:tc>
          <w:tcPr>
            <w:tcW w:type="dxa" w:w="4204"/>
          </w:tcPr>
          <w:p>
            <w:r>
              <w:t>FR-017</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r>
        <w:tc>
          <w:tcPr>
            <w:tcW w:type="dxa" w:w="1080"/>
          </w:tcPr>
          <w:p>
            <w:r>
              <w:t>2.17</w:t>
            </w:r>
          </w:p>
        </w:tc>
        <w:tc>
          <w:tcPr>
            <w:tcW w:type="dxa" w:w="1512"/>
          </w:tcPr>
          <w:p>
            <w:r>
              <w:t>10 October 2026</w:t>
            </w:r>
          </w:p>
        </w:tc>
        <w:tc>
          <w:tcPr>
            <w:tcW w:type="dxa" w:w="7876"/>
          </w:tcPr>
          <w:p>
            <w:r>
              <w:t>Adds FR-017 for the dated subscription and platform customer creation boundary. The console defaults the subscription start to registration day, and creation remains all-or-nothing when customer registration fails. Aligns with MRD v2.104.</w:t>
            </w:r>
          </w:p>
        </w:tc>
      </w:tr>
      <w:tblGrid>
        <w:gridCol w:w="1080"/>
        <w:gridCol w:w="1512"/>
        <w:gridCol w:w="7876"/>
      </w:tblGrid>
      <w:tr>
        <w:trPr>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2.18</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080"/>
          </w:tcPr>
          <w:p>
            <w:r>
              <w:t>2.17</w:t>
            </w:r>
          </w:p>
        </w:tc>
        <w:tc>
          <w:tcPr>
            <w:tcW w:type="dxa" w:w="1512"/>
          </w:tcPr>
          <w:p>
            <w:r>
              <w:t>10 October 2026</w:t>
            </w:r>
          </w:p>
        </w:tc>
        <w:tc>
          <w:tcPr>
            <w:tcW w:type="dxa" w:w="7876"/>
          </w:tcPr>
          <w:p>
            <w:r>
              <w:t>Adds FR-017 for the dated subscription and platform customer creation boundary. The console defaults the subscription start to registration day, and creation remains all-or-nothing when customer registration fails.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v2.15</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2.15</cp:version>
</cp:coreProperties>
</file>