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15: Attendance Management</w:t>
            </w:r>
          </w:p>
          <w:p w14:paraId="6071B59E" w14:textId="77777777" w:rsidR="00A62A3E" w:rsidRDefault="00000000">
            <w:pPr>
              <w:spacing w:after="180"/>
            </w:pPr>
            <w:r>
              <w:rPr>
                <w:color w:val="FFFFFF"/>
                <w:sz w:val="20"/>
              </w:rPr>
              <w:t>XVision Systems | Daily, lesson and staff attendance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M15 | Attendance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v2.106 | Module M15 | Attendance Management</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schools.vs_attendance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schools.vs_students, schools.vs_staff, schools.vs_academics, schools.vs_calendar, vs_notifications, vs_config, vs_exports, vs_rbac</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In progress. Daily, lesson and staff registers, corrections, notices, reports and settings are implemented. All R1-R30 are implemented.</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All R1-R30 are implemented.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15 records student and staff attendance for the school day and for published timetable lessons. It owns marks, corrections, reason codes, reminders and attendance summaries. It reads pupils, staff, classes, terms, leave and calendar closures from their owning school modules.</w:t>
      </w:r>
    </w:p>
    <w:p>
      <w:pPr>
        <w:pStyle w:val="Heading1"/>
      </w:pPr>
      <w:r>
        <w:t>2. Context and Status Model</w:t>
      </w:r>
    </w:p>
    <w:p>
      <w:r>
        <w:t>Builds 1 and 2 are committed. All thirty approved requirements are implemented. A register is due only for an open day and a real roster. Marks are Present, Late, Absent or Excused; lesson marks omit Excused and staff leave is a locked fact read from Staff Management.</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r>
              <w:rPr>
                <w:b/>
                <w:color w:val="FFFFFF"/>
                <w:sz w:val="16"/>
              </w:rPr>
              <w:t>Actor</w:t>
            </w:r>
          </w:p>
        </w:tc>
        <w:tc>
          <w:tcPr>
            <w:tcW w:type="dxa" w:w="3489"/>
            <w:shd w:fill="1F4E78"/>
            <w:vAlign w:val="center"/>
          </w:tcPr>
          <w:p>
            <w:r/>
            <w:r>
              <w:rPr>
                <w:b/>
                <w:color w:val="FFFFFF"/>
                <w:sz w:val="16"/>
              </w:rPr>
              <w:t>May do</w:t>
            </w:r>
          </w:p>
        </w:tc>
        <w:tc>
          <w:tcPr>
            <w:tcW w:type="dxa" w:w="3489"/>
            <w:shd w:fill="1F4E78"/>
            <w:vAlign w:val="center"/>
          </w:tcPr>
          <w:p>
            <w:r/>
            <w:r>
              <w:rPr>
                <w:b/>
                <w:color w:val="FFFFFF"/>
                <w:sz w:val="16"/>
              </w:rPr>
              <w:t>Governed by</w:t>
            </w:r>
          </w:p>
        </w:tc>
      </w:tr>
      <w:tr>
        <w:tc>
          <w:tcPr>
            <w:tcW w:type="dxa" w:w="3489"/>
            <w:vAlign w:val="center"/>
          </w:tcPr>
          <w:p>
            <w:r/>
            <w:r>
              <w:rPr>
                <w:b w:val="0"/>
                <w:sz w:val="16"/>
              </w:rPr>
              <w:t>Teacher</w:t>
            </w:r>
          </w:p>
        </w:tc>
        <w:tc>
          <w:tcPr>
            <w:tcW w:type="dxa" w:w="3489"/>
            <w:vAlign w:val="center"/>
          </w:tcPr>
          <w:p>
            <w:r/>
            <w:r>
              <w:rPr>
                <w:b w:val="0"/>
                <w:sz w:val="16"/>
              </w:rPr>
              <w:t>Take their own class and lesson registers; request corrections</w:t>
            </w:r>
          </w:p>
        </w:tc>
        <w:tc>
          <w:tcPr>
            <w:tcW w:type="dxa" w:w="3489"/>
            <w:vAlign w:val="center"/>
          </w:tcPr>
          <w:p>
            <w:r/>
            <w:r>
              <w:rPr>
                <w:b w:val="0"/>
                <w:sz w:val="16"/>
              </w:rPr>
              <w:t>attendance.register.mark and domain ownership</w:t>
            </w:r>
          </w:p>
        </w:tc>
      </w:tr>
      <w:tr>
        <w:tc>
          <w:tcPr>
            <w:tcW w:type="dxa" w:w="3489"/>
            <w:vAlign w:val="center"/>
            <w:shd w:fill="EAF2F8"/>
          </w:tcPr>
          <w:p>
            <w:r/>
            <w:r>
              <w:rPr>
                <w:b w:val="0"/>
                <w:sz w:val="16"/>
              </w:rPr>
              <w:t>Branch administrator</w:t>
            </w:r>
          </w:p>
        </w:tc>
        <w:tc>
          <w:tcPr>
            <w:tcW w:type="dxa" w:w="3489"/>
            <w:vAlign w:val="center"/>
            <w:shd w:fill="EAF2F8"/>
          </w:tcPr>
          <w:p>
            <w:r/>
            <w:r>
              <w:rPr>
                <w:b w:val="0"/>
                <w:sz w:val="16"/>
              </w:rPr>
              <w:t>Take registers in reached branches, decide corrections, remind and report</w:t>
            </w:r>
          </w:p>
        </w:tc>
        <w:tc>
          <w:tcPr>
            <w:tcW w:type="dxa" w:w="3489"/>
            <w:vAlign w:val="center"/>
            <w:shd w:fill="EAF2F8"/>
          </w:tcPr>
          <w:p>
            <w:r/>
            <w:r>
              <w:rPr>
                <w:b w:val="0"/>
                <w:sz w:val="16"/>
              </w:rPr>
              <w:t>mark_any, correction, reminder and report keys plus branch reach</w:t>
            </w:r>
          </w:p>
        </w:tc>
      </w:tr>
      <w:tr>
        <w:tc>
          <w:tcPr>
            <w:tcW w:type="dxa" w:w="3489"/>
            <w:vAlign w:val="center"/>
          </w:tcPr>
          <w:p>
            <w:r/>
            <w:r>
              <w:rPr>
                <w:b w:val="0"/>
                <w:sz w:val="16"/>
              </w:rPr>
              <w:t>School administrator</w:t>
            </w:r>
          </w:p>
        </w:tc>
        <w:tc>
          <w:tcPr>
            <w:tcW w:type="dxa" w:w="3489"/>
            <w:vAlign w:val="center"/>
          </w:tcPr>
          <w:p>
            <w:r/>
            <w:r>
              <w:rPr>
                <w:b w:val="0"/>
                <w:sz w:val="16"/>
              </w:rPr>
              <w:t>Manage school-wide settings, reasons and every register</w:t>
            </w:r>
          </w:p>
        </w:tc>
        <w:tc>
          <w:tcPr>
            <w:tcW w:type="dxa" w:w="3489"/>
            <w:vAlign w:val="center"/>
          </w:tcPr>
          <w:p>
            <w:r/>
            <w:r>
              <w:rPr>
                <w:b w:val="0"/>
                <w:sz w:val="16"/>
              </w:rPr>
              <w:t>settings and all attendance keys</w:t>
            </w:r>
          </w:p>
        </w:tc>
      </w:tr>
      <w:tr>
        <w:tc>
          <w:tcPr>
            <w:tcW w:type="dxa" w:w="3489"/>
            <w:vAlign w:val="center"/>
            <w:shd w:fill="EAF2F8"/>
          </w:tcPr>
          <w:p>
            <w:r/>
            <w:r>
              <w:rPr>
                <w:b w:val="0"/>
                <w:sz w:val="16"/>
              </w:rPr>
              <w:t>Guardian</w:t>
            </w:r>
          </w:p>
        </w:tc>
        <w:tc>
          <w:tcPr>
            <w:tcW w:type="dxa" w:w="3489"/>
            <w:vAlign w:val="center"/>
            <w:shd w:fill="EAF2F8"/>
          </w:tcPr>
          <w:p>
            <w:r/>
            <w:r>
              <w:rPr>
                <w:b w:val="0"/>
                <w:sz w:val="16"/>
              </w:rPr>
              <w:t>Receives absence and correction notices; no staff attendance access</w:t>
            </w:r>
          </w:p>
        </w:tc>
        <w:tc>
          <w:tcPr>
            <w:tcW w:type="dxa" w:w="3489"/>
            <w:vAlign w:val="center"/>
            <w:shd w:fill="EAF2F8"/>
          </w:tcPr>
          <w:p>
            <w:r/>
            <w:r>
              <w:rPr>
                <w:b w:val="0"/>
                <w:sz w:val="16"/>
              </w:rPr>
              <w:t>Primary guardian relationship and notification delivery</w:t>
            </w:r>
          </w:p>
        </w:tc>
      </w:tr>
    </w:tbl>
    <w:p/>
    <w:p>
      <w:pPr>
        <w:pStyle w:val="Heading1"/>
      </w:pPr>
      <w:r>
        <w:t>4. Functional Requirements</w:t>
      </w:r>
    </w:p>
    <w:p>
      <w:pPr>
        <w:pStyle w:val="Heading2"/>
      </w:pPr>
      <w:r>
        <w:t>FR-001 Marks, roster and open days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FR-001 | Implemented</w:t>
            </w:r>
          </w:p>
        </w:tc>
      </w:tr>
      <w:tr>
        <w:tc>
          <w:tcPr>
            <w:tcW w:type="dxa" w:w="5233"/>
            <w:vAlign w:val="center"/>
          </w:tcPr>
          <w:p>
            <w:r/>
            <w:r>
              <w:rPr>
                <w:b/>
                <w:sz w:val="16"/>
              </w:rPr>
              <w:t>Requirement</w:t>
            </w:r>
          </w:p>
        </w:tc>
        <w:tc>
          <w:tcPr>
            <w:tcW w:type="dxa" w:w="5233"/>
            <w:vAlign w:val="center"/>
          </w:tcPr>
          <w:p>
            <w:r/>
            <w:r>
              <w:rPr>
                <w:b w:val="0"/>
                <w:sz w:val="16"/>
              </w:rPr>
              <w:t>R1-R6. Marks, rates, closures, suspension and the as-at class roll follow the approved definitions.</w:t>
            </w:r>
          </w:p>
        </w:tc>
      </w:tr>
      <w:tr>
        <w:tc>
          <w:tcPr>
            <w:tcW w:type="dxa" w:w="5233"/>
            <w:vAlign w:val="center"/>
          </w:tcPr>
          <w:p>
            <w:r/>
            <w:r>
              <w:rPr>
                <w:b/>
                <w:sz w:val="16"/>
              </w:rPr>
              <w:t>Current evidence</w:t>
            </w:r>
          </w:p>
        </w:tc>
        <w:tc>
          <w:tcPr>
            <w:tcW w:type="dxa" w:w="5233"/>
            <w:vAlign w:val="center"/>
          </w:tcPr>
          <w:p>
            <w:r/>
            <w:r>
              <w:rPr>
                <w:b w:val="0"/>
                <w:sz w:val="16"/>
              </w:rPr>
              <w:t>Daily register services use calendar closures, placement history and status as at the register date.</w:t>
            </w:r>
          </w:p>
        </w:tc>
      </w:tr>
      <w:tr>
        <w:tc>
          <w:tcPr>
            <w:tcW w:type="dxa" w:w="5233"/>
            <w:vAlign w:val="center"/>
          </w:tcPr>
          <w:p>
            <w:r/>
            <w:r>
              <w:rPr>
                <w:b/>
                <w:sz w:val="16"/>
              </w:rPr>
              <w:t>Acceptance</w:t>
            </w:r>
          </w:p>
        </w:tc>
        <w:tc>
          <w:tcPr>
            <w:tcW w:type="dxa" w:w="5233"/>
            <w:vAlign w:val="center"/>
          </w:tcPr>
          <w:p>
            <w:r/>
            <w:r>
              <w:rPr>
                <w:b w:val="0"/>
                <w:sz w:val="16"/>
              </w:rPr>
              <w:t>Late counts as present; untaken days are excluded; suspended pupils are locked and uncounted.</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FR-002 Taking and closing a register</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FR-002 | Implemented</w:t>
            </w:r>
          </w:p>
        </w:tc>
      </w:tr>
      <w:tr>
        <w:tc>
          <w:tcPr>
            <w:tcW w:type="dxa" w:w="5233"/>
            <w:vAlign w:val="center"/>
          </w:tcPr>
          <w:p>
            <w:r/>
            <w:r>
              <w:rPr>
                <w:b/>
                <w:sz w:val="16"/>
              </w:rPr>
              <w:t>Requirement</w:t>
            </w:r>
          </w:p>
        </w:tc>
        <w:tc>
          <w:tcPr>
            <w:tcW w:type="dxa" w:w="5233"/>
            <w:vAlign w:val="center"/>
          </w:tcPr>
          <w:p>
            <w:r/>
            <w:r>
              <w:rPr>
                <w:b w:val="0"/>
                <w:sz w:val="16"/>
              </w:rPr>
              <w:t>R7-R11. Every unlocked row is marked before submit; submit records who acted; same-day edits keep history; closed days require correction; teachers act only on their own class or lesson unless they hold mark_any.</w:t>
            </w:r>
          </w:p>
        </w:tc>
      </w:tr>
      <w:tr>
        <w:tc>
          <w:tcPr>
            <w:tcW w:type="dxa" w:w="5233"/>
            <w:vAlign w:val="center"/>
          </w:tcPr>
          <w:p>
            <w:r/>
            <w:r>
              <w:rPr>
                <w:b/>
                <w:sz w:val="16"/>
              </w:rPr>
              <w:t>Current evidence</w:t>
            </w:r>
          </w:p>
        </w:tc>
        <w:tc>
          <w:tcPr>
            <w:tcW w:type="dxa" w:w="5233"/>
            <w:vAlign w:val="center"/>
          </w:tcPr>
          <w:p>
            <w:r/>
            <w:r>
              <w:rPr>
                <w:b w:val="0"/>
                <w:sz w:val="16"/>
              </w:rPr>
              <w:t>Daily and lesson endpoints enforce row completion, ownership, edit window and branch reach.</w:t>
            </w:r>
          </w:p>
        </w:tc>
      </w:tr>
      <w:tr>
        <w:tc>
          <w:tcPr>
            <w:tcW w:type="dxa" w:w="5233"/>
            <w:vAlign w:val="center"/>
          </w:tcPr>
          <w:p>
            <w:r/>
            <w:r>
              <w:rPr>
                <w:b/>
                <w:sz w:val="16"/>
              </w:rPr>
              <w:t>Acceptance</w:t>
            </w:r>
          </w:p>
        </w:tc>
        <w:tc>
          <w:tcPr>
            <w:tcW w:type="dxa" w:w="5233"/>
            <w:vAlign w:val="center"/>
          </w:tcPr>
          <w:p>
            <w:r/>
            <w:r>
              <w:rPr>
                <w:b w:val="0"/>
                <w:sz w:val="16"/>
              </w:rPr>
              <w:t>Another tenant or unreachable class is 404; a future register is refused; every change remains attributable.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FR-003 Guardian absence notices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FR-003 | Implemented</w:t>
            </w:r>
          </w:p>
        </w:tc>
      </w:tr>
      <w:tr>
        <w:tc>
          <w:tcPr>
            <w:tcW w:type="dxa" w:w="5233"/>
            <w:vAlign w:val="center"/>
          </w:tcPr>
          <w:p>
            <w:r/>
            <w:r>
              <w:rPr>
                <w:b/>
                <w:sz w:val="16"/>
              </w:rPr>
              <w:t>Requirement</w:t>
            </w:r>
          </w:p>
        </w:tc>
        <w:tc>
          <w:tcPr>
            <w:tcW w:type="dxa" w:w="5233"/>
            <w:vAlign w:val="center"/>
          </w:tcPr>
          <w:p>
            <w:r/>
            <w:r>
              <w:rPr>
                <w:b w:val="0"/>
                <w:sz w:val="16"/>
              </w:rPr>
              <w:t>R12-R15. One notice per absent child per day goes to the primary guardian when enabled, with correction notices when the mark moves away from absent.</w:t>
            </w:r>
          </w:p>
        </w:tc>
      </w:tr>
      <w:tr>
        <w:tc>
          <w:tcPr>
            <w:tcW w:type="dxa" w:w="5233"/>
            <w:vAlign w:val="center"/>
          </w:tcPr>
          <w:p>
            <w:r/>
            <w:r>
              <w:rPr>
                <w:b/>
                <w:sz w:val="16"/>
              </w:rPr>
              <w:t>Current evidence</w:t>
            </w:r>
          </w:p>
        </w:tc>
        <w:tc>
          <w:tcPr>
            <w:tcW w:type="dxa" w:w="5233"/>
            <w:vAlign w:val="center"/>
          </w:tcPr>
          <w:p>
            <w:r/>
            <w:r>
              <w:rPr>
                <w:b w:val="0"/>
                <w:sz w:val="16"/>
              </w:rPr>
              <w:t>Submit preview counts reachable guardians and stores Sent, No email, Off or None state.</w:t>
            </w:r>
          </w:p>
        </w:tc>
      </w:tr>
      <w:tr>
        <w:tc>
          <w:tcPr>
            <w:tcW w:type="dxa" w:w="5233"/>
            <w:vAlign w:val="center"/>
          </w:tcPr>
          <w:p>
            <w:r/>
            <w:r>
              <w:rPr>
                <w:b/>
                <w:sz w:val="16"/>
              </w:rPr>
              <w:t>Acceptance</w:t>
            </w:r>
          </w:p>
        </w:tc>
        <w:tc>
          <w:tcPr>
            <w:tcW w:type="dxa" w:w="5233"/>
            <w:vAlign w:val="center"/>
          </w:tcPr>
          <w:p>
            <w:r/>
            <w:r>
              <w:rPr>
                <w:b w:val="0"/>
                <w:sz w:val="16"/>
              </w:rPr>
              <w:t>Late and Excused send nothing; no email is recorded as a state; duplicate notice is refused.</w:t>
            </w:r>
          </w:p>
        </w:tc>
      </w:tr>
      <w:tr>
        <w:tc>
          <w:tcPr>
            <w:tcW w:type="dxa" w:w="5233"/>
            <w:vAlign w:val="center"/>
          </w:tcPr>
          <w:p>
            <w:r/>
            <w:r>
              <w:rPr>
                <w:b/>
                <w:sz w:val="16"/>
              </w:rPr>
              <w:t>Current limit</w:t>
            </w:r>
          </w:p>
        </w:tc>
        <w:tc>
          <w:tcPr>
            <w:tcW w:type="dxa" w:w="5233"/>
            <w:vAlign w:val="center"/>
          </w:tcPr>
          <w:p>
            <w:r/>
            <w:r>
              <w:rPr>
                <w:b w:val="0"/>
                <w:sz w:val="16"/>
              </w:rPr>
              <w:t>Student names on registers deliberately remain outside student-name Field Access switches.</w:t>
            </w:r>
          </w:p>
        </w:tc>
      </w:tr>
    </w:tbl>
    <w:p/>
    <w:p>
      <w:pPr>
        <w:pStyle w:val="Heading2"/>
      </w:pPr>
      <w:r>
        <w:t>FR-004 Corrections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FR-004 | Implemented</w:t>
            </w:r>
          </w:p>
        </w:tc>
      </w:tr>
      <w:tr>
        <w:tc>
          <w:tcPr>
            <w:tcW w:type="dxa" w:w="5233"/>
            <w:vAlign w:val="center"/>
          </w:tcPr>
          <w:p>
            <w:r/>
            <w:r>
              <w:rPr>
                <w:b/>
                <w:sz w:val="16"/>
              </w:rPr>
              <w:t>Requirement</w:t>
            </w:r>
          </w:p>
        </w:tc>
        <w:tc>
          <w:tcPr>
            <w:tcW w:type="dxa" w:w="5233"/>
            <w:vAlign w:val="center"/>
          </w:tcPr>
          <w:p>
            <w:r/>
            <w:r>
              <w:rPr>
                <w:b w:val="0"/>
                <w:sz w:val="16"/>
              </w:rPr>
              <w:t>R16-R17. A correction records the old and requested mark, reason, note, requester and one-step attendance decision.</w:t>
            </w:r>
          </w:p>
        </w:tc>
      </w:tr>
      <w:tr>
        <w:tc>
          <w:tcPr>
            <w:tcW w:type="dxa" w:w="5233"/>
            <w:vAlign w:val="center"/>
          </w:tcPr>
          <w:p>
            <w:r/>
            <w:r>
              <w:rPr>
                <w:b/>
                <w:sz w:val="16"/>
              </w:rPr>
              <w:t>Current evidence</w:t>
            </w:r>
          </w:p>
        </w:tc>
        <w:tc>
          <w:tcPr>
            <w:tcW w:type="dxa" w:w="5233"/>
            <w:vAlign w:val="center"/>
          </w:tcPr>
          <w:p>
            <w:r/>
            <w:r>
              <w:rPr>
                <w:b w:val="0"/>
                <w:sz w:val="16"/>
              </w:rPr>
              <w:t>Waiting and decided queues, nav count, approve and reject actions are implemented in Module 15.</w:t>
            </w:r>
          </w:p>
        </w:tc>
      </w:tr>
      <w:tr>
        <w:tc>
          <w:tcPr>
            <w:tcW w:type="dxa" w:w="5233"/>
            <w:vAlign w:val="center"/>
          </w:tcPr>
          <w:p>
            <w:r/>
            <w:r>
              <w:rPr>
                <w:b/>
                <w:sz w:val="16"/>
              </w:rPr>
              <w:t>Acceptance</w:t>
            </w:r>
          </w:p>
        </w:tc>
        <w:tc>
          <w:tcPr>
            <w:tcW w:type="dxa" w:w="5233"/>
            <w:vAlign w:val="center"/>
          </w:tcPr>
          <w:p>
            <w:r/>
            <w:r>
              <w:rPr>
                <w:b w:val="0"/>
                <w:sz w:val="16"/>
              </w:rPr>
              <w:t>Approval changes the mark and keeps history; rejection leaves the mark and keeps the decision.</w:t>
            </w:r>
          </w:p>
        </w:tc>
      </w:tr>
      <w:tr>
        <w:tc>
          <w:tcPr>
            <w:tcW w:type="dxa" w:w="5233"/>
            <w:vAlign w:val="center"/>
          </w:tcPr>
          <w:p>
            <w:r/>
            <w:r>
              <w:rPr>
                <w:b/>
                <w:sz w:val="16"/>
              </w:rPr>
              <w:t>Current limit</w:t>
            </w:r>
          </w:p>
        </w:tc>
        <w:tc>
          <w:tcPr>
            <w:tcW w:type="dxa" w:w="5233"/>
            <w:vAlign w:val="center"/>
          </w:tcPr>
          <w:p>
            <w:r/>
            <w:r>
              <w:rPr>
                <w:b w:val="0"/>
                <w:sz w:val="16"/>
              </w:rPr>
              <w:t>No generic workflow template is used, by decision.</w:t>
            </w:r>
          </w:p>
        </w:tc>
      </w:tr>
    </w:tbl>
    <w:p/>
    <w:p>
      <w:pPr>
        <w:pStyle w:val="Heading2"/>
      </w:pPr>
      <w:r>
        <w:t>FR-005 Lesson registers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FR-005 | Implemented</w:t>
            </w:r>
          </w:p>
        </w:tc>
      </w:tr>
      <w:tr>
        <w:tc>
          <w:tcPr>
            <w:tcW w:type="dxa" w:w="5233"/>
            <w:vAlign w:val="center"/>
          </w:tcPr>
          <w:p>
            <w:r/>
            <w:r>
              <w:rPr>
                <w:b/>
                <w:sz w:val="16"/>
              </w:rPr>
              <w:t>Requirement</w:t>
            </w:r>
          </w:p>
        </w:tc>
        <w:tc>
          <w:tcPr>
            <w:tcW w:type="dxa" w:w="5233"/>
            <w:vAlign w:val="center"/>
          </w:tcPr>
          <w:p>
            <w:r/>
            <w:r>
              <w:rPr>
                <w:b w:val="0"/>
                <w:sz w:val="16"/>
              </w:rPr>
              <w:t>R18-R21. Lesson marking is per level, depends on a published timetable, uses P, L or A and keeps morning and lesson facts separate.</w:t>
            </w:r>
          </w:p>
        </w:tc>
      </w:tr>
      <w:tr>
        <w:tc>
          <w:tcPr>
            <w:tcW w:type="dxa" w:w="5233"/>
            <w:vAlign w:val="center"/>
          </w:tcPr>
          <w:p>
            <w:r/>
            <w:r>
              <w:rPr>
                <w:b/>
                <w:sz w:val="16"/>
              </w:rPr>
              <w:t>Current evidence</w:t>
            </w:r>
          </w:p>
        </w:tc>
        <w:tc>
          <w:tcPr>
            <w:tcW w:type="dxa" w:w="5233"/>
            <w:vAlign w:val="center"/>
          </w:tcPr>
          <w:p>
            <w:r/>
            <w:r>
              <w:rPr>
                <w:b w:val="0"/>
                <w:sz w:val="16"/>
              </w:rPr>
              <w:t>Published slots create the due lesson list; teacher ownership and branch reach are enforced.</w:t>
            </w:r>
          </w:p>
        </w:tc>
      </w:tr>
      <w:tr>
        <w:tc>
          <w:tcPr>
            <w:tcW w:type="dxa" w:w="5233"/>
            <w:vAlign w:val="center"/>
          </w:tcPr>
          <w:p>
            <w:r/>
            <w:r>
              <w:rPr>
                <w:b/>
                <w:sz w:val="16"/>
              </w:rPr>
              <w:t>Acceptance</w:t>
            </w:r>
          </w:p>
        </w:tc>
        <w:tc>
          <w:tcPr>
            <w:tcW w:type="dxa" w:w="5233"/>
            <w:vAlign w:val="center"/>
          </w:tcPr>
          <w:p>
            <w:r/>
            <w:r>
              <w:rPr>
                <w:b w:val="0"/>
                <w:sz w:val="16"/>
              </w:rPr>
              <w:t>Present in the morning and absent from a lesson appears on the missed-lesson list without becoming a daily absence.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FR-006 Staff register</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FR-006 | Implemented</w:t>
            </w:r>
          </w:p>
        </w:tc>
      </w:tr>
      <w:tr>
        <w:tc>
          <w:tcPr>
            <w:tcW w:type="dxa" w:w="5233"/>
            <w:vAlign w:val="center"/>
          </w:tcPr>
          <w:p>
            <w:r/>
            <w:r>
              <w:rPr>
                <w:b/>
                <w:sz w:val="16"/>
              </w:rPr>
              <w:t>Requirement</w:t>
            </w:r>
          </w:p>
        </w:tc>
        <w:tc>
          <w:tcPr>
            <w:tcW w:type="dxa" w:w="5233"/>
            <w:vAlign w:val="center"/>
          </w:tcPr>
          <w:p>
            <w:r/>
            <w:r>
              <w:rPr>
                <w:b w:val="0"/>
                <w:sz w:val="16"/>
              </w:rPr>
              <w:t>R22-R23. Staff attendance is an observed P, L or A mark; approved leave is locked and staff absence sends no guardian notice.</w:t>
            </w:r>
          </w:p>
        </w:tc>
      </w:tr>
      <w:tr>
        <w:tc>
          <w:tcPr>
            <w:tcW w:type="dxa" w:w="5233"/>
            <w:vAlign w:val="center"/>
          </w:tcPr>
          <w:p>
            <w:r/>
            <w:r>
              <w:rPr>
                <w:b/>
                <w:sz w:val="16"/>
              </w:rPr>
              <w:t>Current evidence</w:t>
            </w:r>
          </w:p>
        </w:tc>
        <w:tc>
          <w:tcPr>
            <w:tcW w:type="dxa" w:w="5233"/>
            <w:vAlign w:val="center"/>
          </w:tcPr>
          <w:p>
            <w:r/>
            <w:r>
              <w:rPr>
                <w:b w:val="0"/>
                <w:sz w:val="16"/>
              </w:rPr>
              <w:t>Staff rows group by branch and School-wide, use the home branch and read approved leave.</w:t>
            </w:r>
          </w:p>
        </w:tc>
      </w:tr>
      <w:tr>
        <w:tc>
          <w:tcPr>
            <w:tcW w:type="dxa" w:w="5233"/>
            <w:vAlign w:val="center"/>
          </w:tcPr>
          <w:p>
            <w:r/>
            <w:r>
              <w:rPr>
                <w:b/>
                <w:sz w:val="16"/>
              </w:rPr>
              <w:t>Acceptance</w:t>
            </w:r>
          </w:p>
        </w:tc>
        <w:tc>
          <w:tcPr>
            <w:tcW w:type="dxa" w:w="5233"/>
            <w:vAlign w:val="center"/>
          </w:tcPr>
          <w:p>
            <w:r/>
            <w:r>
              <w:rPr>
                <w:b w:val="0"/>
                <w:sz w:val="16"/>
              </w:rPr>
              <w:t>A staff member with no branch cannot be marked and is told to receive a home branch.</w:t>
            </w:r>
          </w:p>
        </w:tc>
      </w:tr>
      <w:tr>
        <w:tc>
          <w:tcPr>
            <w:tcW w:type="dxa" w:w="5233"/>
            <w:vAlign w:val="center"/>
          </w:tcPr>
          <w:p>
            <w:r/>
            <w:r>
              <w:rPr>
                <w:b/>
                <w:sz w:val="16"/>
              </w:rPr>
              <w:t>Current limit</w:t>
            </w:r>
          </w:p>
        </w:tc>
        <w:tc>
          <w:tcPr>
            <w:tcW w:type="dxa" w:w="5233"/>
            <w:vAlign w:val="center"/>
          </w:tcPr>
          <w:p>
            <w:r/>
            <w:r>
              <w:rPr>
                <w:b w:val="0"/>
                <w:sz w:val="16"/>
              </w:rPr>
              <w:t>Sign-in lockout is not served as an attendance fact.</w:t>
            </w:r>
          </w:p>
        </w:tc>
      </w:tr>
    </w:tbl>
    <w:p/>
    <w:p>
      <w:pPr>
        <w:pStyle w:val="Heading2"/>
      </w:pPr>
      <w:r>
        <w:t>FR-007 Reminders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FR-007 | Implemented</w:t>
            </w:r>
          </w:p>
        </w:tc>
      </w:tr>
      <w:tr>
        <w:tc>
          <w:tcPr>
            <w:tcW w:type="dxa" w:w="5233"/>
            <w:vAlign w:val="center"/>
          </w:tcPr>
          <w:p>
            <w:r/>
            <w:r>
              <w:rPr>
                <w:b/>
                <w:sz w:val="16"/>
              </w:rPr>
              <w:t>Requirement</w:t>
            </w:r>
          </w:p>
        </w:tc>
        <w:tc>
          <w:tcPr>
            <w:tcW w:type="dxa" w:w="5233"/>
            <w:vAlign w:val="center"/>
          </w:tcPr>
          <w:p>
            <w:r/>
            <w:r>
              <w:rPr>
                <w:b w:val="0"/>
                <w:sz w:val="16"/>
              </w:rPr>
              <w:t>R24. A class teacher can be reminded once per class and day through in-app and email delivery.</w:t>
            </w:r>
          </w:p>
        </w:tc>
      </w:tr>
      <w:tr>
        <w:tc>
          <w:tcPr>
            <w:tcW w:type="dxa" w:w="5233"/>
            <w:vAlign w:val="center"/>
          </w:tcPr>
          <w:p>
            <w:r/>
            <w:r>
              <w:rPr>
                <w:b/>
                <w:sz w:val="16"/>
              </w:rPr>
              <w:t>Current evidence</w:t>
            </w:r>
          </w:p>
        </w:tc>
        <w:tc>
          <w:tcPr>
            <w:tcW w:type="dxa" w:w="5233"/>
            <w:vAlign w:val="center"/>
          </w:tcPr>
          <w:p>
            <w:r/>
            <w:r>
              <w:rPr>
                <w:b w:val="0"/>
                <w:sz w:val="16"/>
              </w:rPr>
              <w:t>Reminder records and delivery events are committed.</w:t>
            </w:r>
          </w:p>
        </w:tc>
      </w:tr>
      <w:tr>
        <w:tc>
          <w:tcPr>
            <w:tcW w:type="dxa" w:w="5233"/>
            <w:vAlign w:val="center"/>
          </w:tcPr>
          <w:p>
            <w:r/>
            <w:r>
              <w:rPr>
                <w:b/>
                <w:sz w:val="16"/>
              </w:rPr>
              <w:t>Acceptance</w:t>
            </w:r>
          </w:p>
        </w:tc>
        <w:tc>
          <w:tcPr>
            <w:tcW w:type="dxa" w:w="5233"/>
            <w:vAlign w:val="center"/>
          </w:tcPr>
          <w:p>
            <w:r/>
            <w:r>
              <w:rPr>
                <w:b w:val="0"/>
                <w:sz w:val="16"/>
              </w:rPr>
              <w:t>A repeated reminder reads Reminded and does not send twice.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FR-008 Reports and exports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FR-008 | Implemented</w:t>
            </w:r>
          </w:p>
        </w:tc>
      </w:tr>
      <w:tr>
        <w:tc>
          <w:tcPr>
            <w:tcW w:type="dxa" w:w="5233"/>
            <w:vAlign w:val="center"/>
          </w:tcPr>
          <w:p>
            <w:r/>
            <w:r>
              <w:rPr>
                <w:b/>
                <w:sz w:val="16"/>
              </w:rPr>
              <w:t>Requirement</w:t>
            </w:r>
          </w:p>
        </w:tc>
        <w:tc>
          <w:tcPr>
            <w:tcW w:type="dxa" w:w="5233"/>
            <w:vAlign w:val="center"/>
          </w:tcPr>
          <w:p>
            <w:r/>
            <w:r>
              <w:rPr>
                <w:b w:val="0"/>
                <w:sz w:val="16"/>
              </w:rPr>
              <w:t>R25-R27. Term reports cover weekly trend, class, level, chronic absence, registers not taken and lessons missed.</w:t>
            </w:r>
          </w:p>
        </w:tc>
      </w:tr>
      <w:tr>
        <w:tc>
          <w:tcPr>
            <w:tcW w:type="dxa" w:w="5233"/>
            <w:vAlign w:val="center"/>
          </w:tcPr>
          <w:p>
            <w:r/>
            <w:r>
              <w:rPr>
                <w:b/>
                <w:sz w:val="16"/>
              </w:rPr>
              <w:t>Current evidence</w:t>
            </w:r>
          </w:p>
        </w:tc>
        <w:tc>
          <w:tcPr>
            <w:tcW w:type="dxa" w:w="5233"/>
            <w:vAlign w:val="center"/>
          </w:tcPr>
          <w:p>
            <w:r/>
            <w:r>
              <w:rPr>
                <w:b w:val="0"/>
                <w:sz w:val="16"/>
              </w:rPr>
              <w:t>Reports read taken registers only; class, chronic and not-taken datasets download immediately as CSV.</w:t>
            </w:r>
          </w:p>
        </w:tc>
      </w:tr>
      <w:tr>
        <w:tc>
          <w:tcPr>
            <w:tcW w:type="dxa" w:w="5233"/>
            <w:vAlign w:val="center"/>
          </w:tcPr>
          <w:p>
            <w:r/>
            <w:r>
              <w:rPr>
                <w:b/>
                <w:sz w:val="16"/>
              </w:rPr>
              <w:t>Acceptance</w:t>
            </w:r>
          </w:p>
        </w:tc>
        <w:tc>
          <w:tcPr>
            <w:tcW w:type="dxa" w:w="5233"/>
            <w:vAlign w:val="center"/>
          </w:tcPr>
          <w:p>
            <w:r/>
            <w:r>
              <w:rPr>
                <w:b w:val="0"/>
                <w:sz w:val="16"/>
              </w:rPr>
              <w:t>The threshold is tenant-configured and branch filters recede at one branch.</w:t>
            </w:r>
          </w:p>
        </w:tc>
      </w:tr>
      <w:tr>
        <w:tc>
          <w:tcPr>
            <w:tcW w:type="dxa" w:w="5233"/>
            <w:vAlign w:val="center"/>
          </w:tcPr>
          <w:p>
            <w:r/>
            <w:r>
              <w:rPr>
                <w:b/>
                <w:sz w:val="16"/>
              </w:rPr>
              <w:t>Current limit</w:t>
            </w:r>
          </w:p>
        </w:tc>
        <w:tc>
          <w:tcPr>
            <w:tcW w:type="dxa" w:w="5233"/>
            <w:vAlign w:val="center"/>
          </w:tcPr>
          <w:p>
            <w:r/>
            <w:r>
              <w:rPr>
                <w:b w:val="0"/>
                <w:sz w:val="16"/>
              </w:rPr>
              <w:t>Exports are immediate rather than queued, by decision.</w:t>
            </w:r>
          </w:p>
        </w:tc>
      </w:tr>
    </w:tbl>
    <w:p/>
    <w:p>
      <w:pPr>
        <w:pStyle w:val="Heading2"/>
      </w:pPr>
      <w:r>
        <w:t>FR-009 Settings and reason codes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FR-009 | Implemented</w:t>
            </w:r>
          </w:p>
        </w:tc>
      </w:tr>
      <w:tr>
        <w:tc>
          <w:tcPr>
            <w:tcW w:type="dxa" w:w="5233"/>
            <w:vAlign w:val="center"/>
          </w:tcPr>
          <w:p>
            <w:r/>
            <w:r>
              <w:rPr>
                <w:b/>
                <w:sz w:val="16"/>
              </w:rPr>
              <w:t>Requirement</w:t>
            </w:r>
          </w:p>
        </w:tc>
        <w:tc>
          <w:tcPr>
            <w:tcW w:type="dxa" w:w="5233"/>
            <w:vAlign w:val="center"/>
          </w:tcPr>
          <w:p>
            <w:r/>
            <w:r>
              <w:rPr>
                <w:b w:val="0"/>
                <w:sz w:val="16"/>
              </w:rPr>
              <w:t>R28-R29. Reason codes are tenant-owned, retire without rewriting history, and carry counts_as_authorised; guardian notices, lessons, threshold and edit window are school-wide settings.</w:t>
            </w:r>
          </w:p>
        </w:tc>
      </w:tr>
      <w:tr>
        <w:tc>
          <w:tcPr>
            <w:tcW w:type="dxa" w:w="5233"/>
            <w:vAlign w:val="center"/>
          </w:tcPr>
          <w:p>
            <w:r/>
            <w:r>
              <w:rPr>
                <w:b/>
                <w:sz w:val="16"/>
              </w:rPr>
              <w:t>Current evidence</w:t>
            </w:r>
          </w:p>
        </w:tc>
        <w:tc>
          <w:tcPr>
            <w:tcW w:type="dxa" w:w="5233"/>
            <w:vAlign w:val="center"/>
          </w:tcPr>
          <w:p>
            <w:r/>
            <w:r>
              <w:rPr>
                <w:b w:val="0"/>
                <w:sz w:val="16"/>
              </w:rPr>
              <w:t>Settings and reason-code routes enforce whole-school authority and audit changes.</w:t>
            </w:r>
          </w:p>
        </w:tc>
      </w:tr>
      <w:tr>
        <w:tc>
          <w:tcPr>
            <w:tcW w:type="dxa" w:w="5233"/>
            <w:vAlign w:val="center"/>
          </w:tcPr>
          <w:p>
            <w:r/>
            <w:r>
              <w:rPr>
                <w:b/>
                <w:sz w:val="16"/>
              </w:rPr>
              <w:t>Acceptance</w:t>
            </w:r>
          </w:p>
        </w:tc>
        <w:tc>
          <w:tcPr>
            <w:tcW w:type="dxa" w:w="5233"/>
            <w:vAlign w:val="center"/>
          </w:tcPr>
          <w:p>
            <w:r/>
            <w:r>
              <w:rPr>
                <w:b w:val="0"/>
                <w:sz w:val="16"/>
              </w:rPr>
              <w:t>Retired codes remain on old marks and disappear from new choices.</w:t>
            </w:r>
          </w:p>
        </w:tc>
      </w:tr>
      <w:tr>
        <w:tc>
          <w:tcPr>
            <w:tcW w:type="dxa" w:w="5233"/>
            <w:vAlign w:val="center"/>
          </w:tcPr>
          <w:p>
            <w:r/>
            <w:r>
              <w:rPr>
                <w:b/>
                <w:sz w:val="16"/>
              </w:rPr>
              <w:t>Current limit</w:t>
            </w:r>
          </w:p>
        </w:tc>
        <w:tc>
          <w:tcPr>
            <w:tcW w:type="dxa" w:w="5233"/>
            <w:vAlign w:val="center"/>
          </w:tcPr>
          <w:p>
            <w:r/>
            <w:r>
              <w:rPr>
                <w:b w:val="0"/>
                <w:sz w:val="16"/>
              </w:rPr>
              <w:t>counts_as_authorised is stored but does not alter calculations until a product surface uses it.</w:t>
            </w:r>
          </w:p>
        </w:tc>
      </w:tr>
    </w:tbl>
    <w:p/>
    <w:p>
      <w:pPr>
        <w:pStyle w:val="Heading2"/>
      </w:pPr>
      <w:r>
        <w:t>FR-010 Branch behavior</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FR-010 | Implemented</w:t>
            </w:r>
          </w:p>
        </w:tc>
      </w:tr>
      <w:tr>
        <w:tc>
          <w:tcPr>
            <w:tcW w:type="dxa" w:w="5233"/>
            <w:vAlign w:val="center"/>
          </w:tcPr>
          <w:p>
            <w:r/>
            <w:r>
              <w:rPr>
                <w:b/>
                <w:sz w:val="16"/>
              </w:rPr>
              <w:t>Requirement</w:t>
            </w:r>
          </w:p>
        </w:tc>
        <w:tc>
          <w:tcPr>
            <w:tcW w:type="dxa" w:w="5233"/>
            <w:vAlign w:val="center"/>
          </w:tcPr>
          <w:p>
            <w:r/>
            <w:r>
              <w:rPr>
                <w:b w:val="0"/>
                <w:sz w:val="16"/>
              </w:rPr>
              <w:t>R30. Multi-branch readers filter hubs, staff and reports; one-branch controls recede.</w:t>
            </w:r>
          </w:p>
        </w:tc>
      </w:tr>
      <w:tr>
        <w:tc>
          <w:tcPr>
            <w:tcW w:type="dxa" w:w="5233"/>
            <w:vAlign w:val="center"/>
          </w:tcPr>
          <w:p>
            <w:r/>
            <w:r>
              <w:rPr>
                <w:b/>
                <w:sz w:val="16"/>
              </w:rPr>
              <w:t>Current evidence</w:t>
            </w:r>
          </w:p>
        </w:tc>
        <w:tc>
          <w:tcPr>
            <w:tcW w:type="dxa" w:w="5233"/>
            <w:vAlign w:val="center"/>
          </w:tcPr>
          <w:p>
            <w:r/>
            <w:r>
              <w:rPr>
                <w:b w:val="0"/>
                <w:sz w:val="16"/>
              </w:rPr>
              <w:t>Register branch comes from the class; branch reach uses the shared RBAC resolver.</w:t>
            </w:r>
          </w:p>
        </w:tc>
      </w:tr>
      <w:tr>
        <w:tc>
          <w:tcPr>
            <w:tcW w:type="dxa" w:w="5233"/>
            <w:vAlign w:val="center"/>
          </w:tcPr>
          <w:p>
            <w:r/>
            <w:r>
              <w:rPr>
                <w:b/>
                <w:sz w:val="16"/>
              </w:rPr>
              <w:t>Acceptance</w:t>
            </w:r>
          </w:p>
        </w:tc>
        <w:tc>
          <w:tcPr>
            <w:tcW w:type="dxa" w:w="5233"/>
            <w:vAlign w:val="center"/>
          </w:tcPr>
          <w:p>
            <w:r/>
            <w:r>
              <w:rPr>
                <w:b w:val="0"/>
                <w:sz w:val="16"/>
              </w:rPr>
              <w:t>A shared class at a multi-branch school is refused until given a branch.</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1"/>
      </w:pPr>
      <w:r>
        <w:t>5. Workflows and Lifecycle Rules</w:t>
      </w:r>
    </w:p>
    <w:p>
      <w:r>
        <w:t>Daily register: due, in progress, submitted, editable inside the configured window, then correction-only.</w:t>
      </w:r>
    </w:p>
    <w:p>
      <w:pPr>
        <w:spacing w:after="60"/>
      </w:pPr>
      <w:r>
        <w:t>• Daily register: due, in progress, submitted, editable inside the configured window, then correction-only.</w:t>
      </w:r>
    </w:p>
    <w:p>
      <w:r>
        <w:t>Correction: requested, approved or rejected in Module 15.</w:t>
      </w:r>
    </w:p>
    <w:p>
      <w:pPr>
        <w:spacing w:after="60"/>
      </w:pPr>
      <w:r>
        <w:t>• Correction: requested, approved or rejected in Module 15.</w:t>
      </w:r>
    </w:p>
    <w:p>
      <w:r>
        <w:t>Lesson register: due from a published timetable, submitted by its teacher or an authorised substitute.</w:t>
      </w:r>
    </w:p>
    <w:p>
      <w:pPr>
        <w:spacing w:after="60"/>
      </w:pPr>
      <w:r>
        <w:t>• Lesson register: due from a published timetable, submitted by its teacher or an authorised substitute.</w:t>
      </w:r>
    </w:p>
    <w:p>
      <w:r>
        <w:t>Staff register: open-day record with approved leave locked.</w:t>
      </w:r>
    </w:p>
    <w:p>
      <w:pPr>
        <w:spacing w:after="60"/>
      </w:pPr>
      <w:r>
        <w:t>• Staff register: open-day record with approved leave locked.</w:t>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Record</w:t>
            </w:r>
          </w:p>
        </w:tc>
        <w:tc>
          <w:tcPr>
            <w:tcW w:type="dxa" w:w="5233"/>
            <w:shd w:fill="1F4E78"/>
            <w:vAlign w:val="center"/>
          </w:tcPr>
          <w:p>
            <w:r/>
            <w:r>
              <w:rPr>
                <w:b/>
                <w:color w:val="FFFFFF"/>
                <w:sz w:val="16"/>
              </w:rPr>
              <w:t>Purpose</w:t>
            </w:r>
          </w:p>
        </w:tc>
      </w:tr>
      <w:tr>
        <w:tc>
          <w:tcPr>
            <w:tcW w:type="dxa" w:w="5233"/>
            <w:vAlign w:val="center"/>
          </w:tcPr>
          <w:p>
            <w:r/>
            <w:r>
              <w:rPr>
                <w:b w:val="0"/>
                <w:sz w:val="16"/>
              </w:rPr>
              <w:t>ReasonCode</w:t>
            </w:r>
          </w:p>
        </w:tc>
        <w:tc>
          <w:tcPr>
            <w:tcW w:type="dxa" w:w="5233"/>
            <w:vAlign w:val="center"/>
          </w:tcPr>
          <w:p>
            <w:r/>
            <w:r>
              <w:rPr>
                <w:b w:val="0"/>
                <w:sz w:val="16"/>
              </w:rPr>
              <w:t>Tenant list, authorised flag, retirement and order</w:t>
            </w:r>
          </w:p>
        </w:tc>
      </w:tr>
      <w:tr>
        <w:tc>
          <w:tcPr>
            <w:tcW w:type="dxa" w:w="5233"/>
            <w:vAlign w:val="center"/>
            <w:shd w:fill="EAF2F8"/>
          </w:tcPr>
          <w:p>
            <w:r/>
            <w:r>
              <w:rPr>
                <w:b w:val="0"/>
                <w:sz w:val="16"/>
              </w:rPr>
              <w:t>ClassRegister and StudentMark</w:t>
            </w:r>
          </w:p>
        </w:tc>
        <w:tc>
          <w:tcPr>
            <w:tcW w:type="dxa" w:w="5233"/>
            <w:vAlign w:val="center"/>
            <w:shd w:fill="EAF2F8"/>
          </w:tcPr>
          <w:p>
            <w:r/>
            <w:r>
              <w:rPr>
                <w:b w:val="0"/>
                <w:sz w:val="16"/>
              </w:rPr>
              <w:t>Daily class record and one mark per pupil</w:t>
            </w:r>
          </w:p>
        </w:tc>
      </w:tr>
      <w:tr>
        <w:tc>
          <w:tcPr>
            <w:tcW w:type="dxa" w:w="5233"/>
            <w:vAlign w:val="center"/>
          </w:tcPr>
          <w:p>
            <w:r/>
            <w:r>
              <w:rPr>
                <w:b w:val="0"/>
                <w:sz w:val="16"/>
              </w:rPr>
              <w:t>MarkChange and CorrectionRequest</w:t>
            </w:r>
          </w:p>
        </w:tc>
        <w:tc>
          <w:tcPr>
            <w:tcW w:type="dxa" w:w="5233"/>
            <w:vAlign w:val="center"/>
          </w:tcPr>
          <w:p>
            <w:r/>
            <w:r>
              <w:rPr>
                <w:b w:val="0"/>
                <w:sz w:val="16"/>
              </w:rPr>
              <w:t>Append-only changes and decisions</w:t>
            </w:r>
          </w:p>
        </w:tc>
      </w:tr>
      <w:tr>
        <w:tc>
          <w:tcPr>
            <w:tcW w:type="dxa" w:w="5233"/>
            <w:vAlign w:val="center"/>
            <w:shd w:fill="EAF2F8"/>
          </w:tcPr>
          <w:p>
            <w:r/>
            <w:r>
              <w:rPr>
                <w:b w:val="0"/>
                <w:sz w:val="16"/>
              </w:rPr>
              <w:t>LessonRegister and LessonMark</w:t>
            </w:r>
          </w:p>
        </w:tc>
        <w:tc>
          <w:tcPr>
            <w:tcW w:type="dxa" w:w="5233"/>
            <w:vAlign w:val="center"/>
            <w:shd w:fill="EAF2F8"/>
          </w:tcPr>
          <w:p>
            <w:r/>
            <w:r>
              <w:rPr>
                <w:b w:val="0"/>
                <w:sz w:val="16"/>
              </w:rPr>
              <w:t>Published-slot attendance</w:t>
            </w:r>
          </w:p>
        </w:tc>
      </w:tr>
      <w:tr>
        <w:tc>
          <w:tcPr>
            <w:tcW w:type="dxa" w:w="5233"/>
            <w:vAlign w:val="center"/>
          </w:tcPr>
          <w:p>
            <w:r/>
            <w:r>
              <w:rPr>
                <w:b w:val="0"/>
                <w:sz w:val="16"/>
              </w:rPr>
              <w:t>StaffDay and StaffMark</w:t>
            </w:r>
          </w:p>
        </w:tc>
        <w:tc>
          <w:tcPr>
            <w:tcW w:type="dxa" w:w="5233"/>
            <w:vAlign w:val="center"/>
          </w:tcPr>
          <w:p>
            <w:r/>
            <w:r>
              <w:rPr>
                <w:b w:val="0"/>
                <w:sz w:val="16"/>
              </w:rPr>
              <w:t>Observed staff attendance</w:t>
            </w:r>
          </w:p>
        </w:tc>
      </w:tr>
      <w:tr>
        <w:tc>
          <w:tcPr>
            <w:tcW w:type="dxa" w:w="5233"/>
            <w:vAlign w:val="center"/>
            <w:shd w:fill="EAF2F8"/>
          </w:tcPr>
          <w:p>
            <w:r/>
            <w:r>
              <w:rPr>
                <w:b w:val="0"/>
                <w:sz w:val="16"/>
              </w:rPr>
              <w:t>RegisterReminder</w:t>
            </w:r>
          </w:p>
        </w:tc>
        <w:tc>
          <w:tcPr>
            <w:tcW w:type="dxa" w:w="5233"/>
            <w:vAlign w:val="center"/>
            <w:shd w:fill="EAF2F8"/>
          </w:tcPr>
          <w:p>
            <w:r/>
            <w:r>
              <w:rPr>
                <w:b w:val="0"/>
                <w:sz w:val="16"/>
              </w:rPr>
              <w:t>One reminder per class and day</w:t>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Surface</w:t>
            </w:r>
          </w:p>
        </w:tc>
        <w:tc>
          <w:tcPr>
            <w:tcW w:type="dxa" w:w="5233"/>
            <w:shd w:fill="1F4E78"/>
            <w:vAlign w:val="center"/>
          </w:tcPr>
          <w:p>
            <w:r/>
            <w:r>
              <w:rPr>
                <w:b/>
                <w:color w:val="FFFFFF"/>
                <w:sz w:val="16"/>
              </w:rPr>
              <w:t>Contract</w:t>
            </w:r>
          </w:p>
        </w:tc>
      </w:tr>
      <w:tr>
        <w:tc>
          <w:tcPr>
            <w:tcW w:type="dxa" w:w="5233"/>
            <w:vAlign w:val="center"/>
          </w:tcPr>
          <w:p>
            <w:r/>
            <w:r>
              <w:rPr>
                <w:b w:val="0"/>
                <w:sz w:val="16"/>
              </w:rPr>
              <w:t>today and today/mine</w:t>
            </w:r>
          </w:p>
        </w:tc>
        <w:tc>
          <w:tcPr>
            <w:tcW w:type="dxa" w:w="5233"/>
            <w:vAlign w:val="center"/>
          </w:tcPr>
          <w:p>
            <w:r/>
            <w:r>
              <w:rPr>
                <w:b w:val="0"/>
                <w:sz w:val="16"/>
              </w:rPr>
              <w:t>Admin and teacher hubs with closed-day state</w:t>
            </w:r>
          </w:p>
        </w:tc>
      </w:tr>
      <w:tr>
        <w:tc>
          <w:tcPr>
            <w:tcW w:type="dxa" w:w="5233"/>
            <w:vAlign w:val="center"/>
            <w:shd w:fill="EAF2F8"/>
          </w:tcPr>
          <w:p>
            <w:r/>
            <w:r>
              <w:rPr>
                <w:b w:val="0"/>
                <w:sz w:val="16"/>
              </w:rPr>
              <w:t>registers and marks</w:t>
            </w:r>
          </w:p>
        </w:tc>
        <w:tc>
          <w:tcPr>
            <w:tcW w:type="dxa" w:w="5233"/>
            <w:vAlign w:val="center"/>
            <w:shd w:fill="EAF2F8"/>
          </w:tcPr>
          <w:p>
            <w:r/>
            <w:r>
              <w:rPr>
                <w:b w:val="0"/>
                <w:sz w:val="16"/>
              </w:rPr>
              <w:t>Daily reads, writes, fill and submit</w:t>
            </w:r>
          </w:p>
        </w:tc>
      </w:tr>
      <w:tr>
        <w:tc>
          <w:tcPr>
            <w:tcW w:type="dxa" w:w="5233"/>
            <w:vAlign w:val="center"/>
          </w:tcPr>
          <w:p>
            <w:r/>
            <w:r>
              <w:rPr>
                <w:b w:val="0"/>
                <w:sz w:val="16"/>
              </w:rPr>
              <w:t>lessons</w:t>
            </w:r>
          </w:p>
        </w:tc>
        <w:tc>
          <w:tcPr>
            <w:tcW w:type="dxa" w:w="5233"/>
            <w:vAlign w:val="center"/>
          </w:tcPr>
          <w:p>
            <w:r/>
            <w:r>
              <w:rPr>
                <w:b w:val="0"/>
                <w:sz w:val="16"/>
              </w:rPr>
              <w:t>Due lesson list, marks and submit</w:t>
            </w:r>
          </w:p>
        </w:tc>
      </w:tr>
      <w:tr>
        <w:tc>
          <w:tcPr>
            <w:tcW w:type="dxa" w:w="5233"/>
            <w:vAlign w:val="center"/>
            <w:shd w:fill="EAF2F8"/>
          </w:tcPr>
          <w:p>
            <w:r/>
            <w:r>
              <w:rPr>
                <w:b w:val="0"/>
                <w:sz w:val="16"/>
              </w:rPr>
              <w:t>corrections</w:t>
            </w:r>
          </w:p>
        </w:tc>
        <w:tc>
          <w:tcPr>
            <w:tcW w:type="dxa" w:w="5233"/>
            <w:vAlign w:val="center"/>
            <w:shd w:fill="EAF2F8"/>
          </w:tcPr>
          <w:p>
            <w:r/>
            <w:r>
              <w:rPr>
                <w:b w:val="0"/>
                <w:sz w:val="16"/>
              </w:rPr>
              <w:t>Queue, create, approve and reject</w:t>
            </w:r>
          </w:p>
        </w:tc>
      </w:tr>
      <w:tr>
        <w:tc>
          <w:tcPr>
            <w:tcW w:type="dxa" w:w="5233"/>
            <w:vAlign w:val="center"/>
          </w:tcPr>
          <w:p>
            <w:r/>
            <w:r>
              <w:rPr>
                <w:b w:val="0"/>
                <w:sz w:val="16"/>
              </w:rPr>
              <w:t>staff-registers</w:t>
            </w:r>
          </w:p>
        </w:tc>
        <w:tc>
          <w:tcPr>
            <w:tcW w:type="dxa" w:w="5233"/>
            <w:vAlign w:val="center"/>
          </w:tcPr>
          <w:p>
            <w:r/>
            <w:r>
              <w:rPr>
                <w:b w:val="0"/>
                <w:sz w:val="16"/>
              </w:rPr>
              <w:t>Branch staff marks and submit</w:t>
            </w:r>
          </w:p>
        </w:tc>
      </w:tr>
      <w:tr>
        <w:tc>
          <w:tcPr>
            <w:tcW w:type="dxa" w:w="5233"/>
            <w:vAlign w:val="center"/>
            <w:shd w:fill="EAF2F8"/>
          </w:tcPr>
          <w:p>
            <w:r/>
            <w:r>
              <w:rPr>
                <w:b w:val="0"/>
                <w:sz w:val="16"/>
              </w:rPr>
              <w:t>students and reports</w:t>
            </w:r>
          </w:p>
        </w:tc>
        <w:tc>
          <w:tcPr>
            <w:tcW w:type="dxa" w:w="5233"/>
            <w:vAlign w:val="center"/>
            <w:shd w:fill="EAF2F8"/>
          </w:tcPr>
          <w:p>
            <w:r/>
            <w:r>
              <w:rPr>
                <w:b w:val="0"/>
                <w:sz w:val="16"/>
              </w:rPr>
              <w:t>Term summary, chronic list and exports</w:t>
            </w:r>
          </w:p>
        </w:tc>
      </w:tr>
      <w:tr>
        <w:tc>
          <w:tcPr>
            <w:tcW w:type="dxa" w:w="5233"/>
            <w:vAlign w:val="center"/>
          </w:tcPr>
          <w:p>
            <w:r/>
            <w:r>
              <w:rPr>
                <w:b w:val="0"/>
                <w:sz w:val="16"/>
              </w:rPr>
              <w:t>settings and reason-codes</w:t>
            </w:r>
          </w:p>
        </w:tc>
        <w:tc>
          <w:tcPr>
            <w:tcW w:type="dxa" w:w="5233"/>
            <w:vAlign w:val="center"/>
          </w:tcPr>
          <w:p>
            <w:r/>
            <w:r>
              <w:rPr>
                <w:b w:val="0"/>
                <w:sz w:val="16"/>
              </w:rPr>
              <w:t>Whole-school configuration</w:t>
            </w:r>
          </w:p>
        </w:tc>
      </w:tr>
    </w:tbl>
    <w:p/>
    <w:p>
      <w:pPr>
        <w:pStyle w:val="Heading1"/>
      </w:pPr>
      <w:r>
        <w:t>8. Field Access</w:t>
      </w:r>
    </w:p>
    <w:p>
      <w:r>
        <w:t>Mark note, excused reason, arrival time, guardian email on the student record and staff notes are registered with explicit Read and Write decisions. Student names on registers remain deliberately outside the student-name switches because the register cannot function without identifying its roster.</w:t>
      </w:r>
    </w:p>
    <w:p>
      <w:pPr>
        <w:pStyle w:val="Heading1"/>
      </w:pPr>
      <w:r>
        <w:t>9. Dependencies and Operational Evidence</w:t>
      </w:r>
    </w:p>
    <w:p>
      <w:r>
        <w:t>M11 supplies placement, suspension and guardian links.</w:t>
      </w:r>
    </w:p>
    <w:p>
      <w:pPr>
        <w:spacing w:after="60"/>
      </w:pPr>
      <w:r>
        <w:t>• M11 supplies placement, suspension and guardian links.</w:t>
      </w:r>
    </w:p>
    <w:p>
      <w:r>
        <w:t>M12 supplies staff, home branch and approved leave.</w:t>
      </w:r>
    </w:p>
    <w:p>
      <w:pPr>
        <w:spacing w:after="60"/>
      </w:pPr>
      <w:r>
        <w:t>• M12 supplies staff, home branch and approved leave.</w:t>
      </w:r>
    </w:p>
    <w:p>
      <w:r>
        <w:t>M13 and M14 supply classes, terms, published lessons and closed days.</w:t>
      </w:r>
    </w:p>
    <w:p>
      <w:pPr>
        <w:spacing w:after="60"/>
      </w:pPr>
      <w:r>
        <w:t>• M13 and M14 supply classes, terms, published lessons and closed days.</w:t>
      </w:r>
    </w:p>
    <w:p>
      <w:r>
        <w:t>M08 delivers absence, correction and reminder notices.</w:t>
      </w:r>
    </w:p>
    <w:p>
      <w:pPr>
        <w:spacing w:after="60"/>
      </w:pPr>
      <w:r>
        <w:t>• M08 delivers absence, correction and reminder notices.</w:t>
      </w:r>
    </w:p>
    <w:p>
      <w:r>
        <w:t>M26 renders immediate CSV datasets.</w:t>
      </w:r>
    </w:p>
    <w:p>
      <w:pPr>
        <w:spacing w:after="60"/>
      </w:pPr>
      <w:r>
        <w:t>• M26 renders immediate CSV datasets.</w:t>
      </w:r>
    </w:p>
    <w:p>
      <w:pPr>
        <w:pStyle w:val="Heading1"/>
      </w:pPr>
      <w:r>
        <w:t>10. Needs Attention</w:t>
      </w:r>
    </w:p>
    <w:p>
      <w:r>
        <w:t>No unresolved backend gap remains in R1-R30. Product release and deployment are separate from this backend evidence.</w:t>
      </w:r>
    </w:p>
    <w:p>
      <w:pPr>
        <w:pStyle w:val="Heading1"/>
      </w:pPr>
      <w:r>
        <w:t>11. MRD Traceability</w:t>
      </w:r>
    </w:p>
    <w:p>
      <w:r>
        <w:t>The MRD keeps ten Attendance capability entries and moves Module 15 from Planned to Partial. Daily registers, lesson registers, staff attendance, corrections, reasons, notices, reports, exports and branch behavior map to FR-001 through FR-010.</w:t>
      </w:r>
    </w:p>
    <w:p>
      <w:pPr>
        <w:pStyle w:val="Heading1"/>
      </w:pPr>
      <w:r>
        <w:t>12. Change Log</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r>
              <w:rPr>
                <w:b/>
                <w:color w:val="FFFFFF"/>
                <w:sz w:val="16"/>
              </w:rPr>
              <w:t>Version</w:t>
            </w:r>
          </w:p>
        </w:tc>
        <w:tc>
          <w:tcPr>
            <w:tcW w:type="dxa" w:w="3489"/>
            <w:shd w:fill="1F4E78"/>
            <w:vAlign w:val="center"/>
          </w:tcPr>
          <w:p>
            <w:r/>
            <w:r>
              <w:rPr>
                <w:b/>
                <w:color w:val="FFFFFF"/>
                <w:sz w:val="16"/>
              </w:rPr>
              <w:t>Date</w:t>
            </w:r>
          </w:p>
        </w:tc>
        <w:tc>
          <w:tcPr>
            <w:tcW w:type="dxa" w:w="3489"/>
            <w:shd w:fill="1F4E78"/>
            <w:vAlign w:val="center"/>
          </w:tcPr>
          <w:p>
            <w:r/>
            <w:r>
              <w:rPr>
                <w:b/>
                <w:color w:val="FFFFFF"/>
                <w:sz w:val="16"/>
              </w:rPr>
              <w:t>Summary</w:t>
            </w:r>
          </w:p>
        </w:tc>
      </w:tr>
      <w:tr>
        <w:tc>
          <w:tcPr>
            <w:tcW w:type="dxa" w:w="3489"/>
            <w:vAlign w:val="center"/>
          </w:tcPr>
          <w:p>
            <w:r/>
            <w:r>
              <w:rPr>
                <w:b w:val="0"/>
                <w:sz w:val="16"/>
              </w:rPr>
              <w:t>1.0</w:t>
            </w:r>
          </w:p>
        </w:tc>
        <w:tc>
          <w:tcPr>
            <w:tcW w:type="dxa" w:w="3489"/>
            <w:vAlign w:val="center"/>
          </w:tcPr>
          <w:p>
            <w:r/>
            <w:r>
              <w:rPr>
                <w:b w:val="0"/>
                <w:sz w:val="16"/>
              </w:rPr>
              <w:t>14 October 2026</w:t>
            </w:r>
          </w:p>
        </w:tc>
        <w:tc>
          <w:tcPr>
            <w:tcW w:type="dxa" w:w="3489"/>
            <w:vAlign w:val="center"/>
          </w:tcPr>
          <w:p>
            <w:r/>
            <w:r>
              <w:rPr>
                <w:b w:val="0"/>
                <w:sz w:val="16"/>
              </w:rPr>
              <w:t>First Attendance FRD. Records all approved R1-R30 as implemented across commits b23c528b and 5ac6970d, with later committed corrections and search registration through 850e5b45. Backend evidence only; no deployment claim.</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Attendance Management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