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M18</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1.17</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customer can be given a dedicated account number that credits the entity directly.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pPr>
        <w:pStyle w:val="Heading2"/>
      </w:pPr>
      <w:r>
        <w:t>Current Functional Contracts</w:t>
      </w:r>
    </w:p>
    <w:p>
      <w:pPr/>
      <w:r>
        <w:t>These contracts state the current behavior at the code baseline and govern where an earlier sentence in this document describes an older rule.</w:t>
      </w:r>
    </w:p>
    <w:p>
      <w:r>
        <w:t>Payments follow branch ownership from source to settlement. An invoice collection belongs to the invoice's branch; otherwise it uses the family's branch. Deposit banks, receipts, gateway payouts, automatic settlement, advances and explicit applications stay in that branch, with 400 SETTLEMENT_BRANCH on a cross-branch application. A branch sees only its collections.</w:t>
      </w:r>
    </w:p>
    <w:p>
      <w:r>
        <w:t>Payout amounts are gross bill values before withholding tax, while the provider receives the net. Omitted WHT is computed from the vendor code and manual bill payments compute it on value net of VAT. Entered WHT is preserved and marked ENTERED, and WHT must leave a positive amount to send. Movement rows expose gross_amount and wht_amount and reconciliation uses payout_sent_amount.</w:t>
      </w:r>
    </w:p>
    <w:p>
      <w:r>
        <w:t>FAILED and ABANDONED online collections remain recoverable when the provider confirms success. Webhook failures that book nothing remain FAILED. The 15-minute recovery sweep retries stuck events, pending collections and in-flight payouts with capped backoff. Receipts use the provider payment day in the owning branch zone, or the first open day after it when the period is closed.</w:t>
      </w:r>
    </w:p>
    <w:p>
      <w:r>
        <w:t>A checkout may name an out-of-reach family only when the named in-reach invoice belongs to that family. Payout approvals count distinct real people and exclude the requester set. Transaction activity names the real actor under a proxy, exposes only named scalar metadata, and applies Field Access to virtual account numbers.</w:t>
      </w:r>
    </w:p>
    <w:p>
      <w:r>
        <w:t>Refund availability is one row per customer and branch. Refunds and batches accept branch, pay only that branch's credit, allow one family once per branch, and hide unbranched credit from a branch-bound caller.</w:t>
      </w:r>
    </w:p>
    <w:p>
      <w:pPr>
        <w:pStyle w:val="Heading2"/>
      </w:pPr>
      <w:r>
        <w:t>D83-D102 Current Contracts</w:t>
      </w:r>
    </w:p>
    <w:p>
      <w:pPr/>
      <w:r>
        <w:t>These contracts state current behavior at the committed evidence boundary and replace an earlier sentence wherever the two disagree.</w:t>
      </w:r>
    </w:p>
    <w:p>
      <w:r>
        <w:t>Collection intents, virtual accounts, payout batches and payout instructions carry a branch. Reads, transactions, webhooks, dashboards and approvals follow that branch. A payout belongs to the branch of the bank that funds it, and a branch-bound caller must select a bank account in reach.</w:t>
      </w:r>
    </w:p>
    <w:p>
      <w:r>
        <w:t>Confirmed online money first debits Gateway clearing. A settlement records gross collections, provider fees and net bank cash in the bank account's branch and refuses an unexplained shortfall or an impossible date. Primary collection accounts and Paystack subaccounts are per branch.</w:t>
      </w:r>
    </w:p>
    <w:p>
      <w:r>
        <w:t>Custody is HELD or DIRECT. Direct mode requires a Paystack subaccount for every branch, routes checkouts and virtual accounts through the branch subaccount, and does not offer online payouts or refunds. Held mode keeps a balance per tenant branch in CodeX's books, schedules settlements, enforces available funds at payout dispatch and handles chargebacks and recoveries.</w:t>
      </w:r>
    </w:p>
    <w:p>
      <w:r>
        <w:t>Held settlements are generated per due branch, submitted by a CodeX operator and approved by two distinct CodeX people. Schools read only their branches' settlements, balances, banks and movement summaries. A won dispute first repays any amount owed to CodeX, restores the remainder to held funds and reverses the school's chargeback entry exactly once.</w:t>
      </w:r>
    </w:p>
    <w:p>
      <w:r>
        <w:t>A daily held-ledger reconciliation compares Paystack with CodeX's provider balance and per-branch liabilities. A difference beyond platform tolerance opens one system-health incident and the next agreeing check resolves it.</w:t>
      </w:r>
    </w:p>
    <w:p>
      <w:r>
        <w:t>Current limits: Paystack dispute fields and transfer fees need production confirmation; the reconciliation assumes the provider balance is not swept daily and does not yet include CodeX's own online supplier payouts.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Payer payments: </w:t>
      </w:r>
      <w:r>
        <w:t>One payer payment can be split across the payer and actively linked customers. It creates one receipt per customer, holds another branch’s share for forwarding, and voids the group as one document.</w:t>
      </w:r>
    </w:p>
    <w:p>
      <w:pPr>
        <w:keepLines/>
      </w:pPr>
      <w:r>
        <w:t xml:space="preserve">• </w:t>
      </w:r>
      <w:r>
        <w:rPr>
          <w:b/>
        </w:rPr>
        <w:t xml:space="preserve">Recorder choices: </w:t>
      </w:r>
      <w:r>
        <w:t>The payer-payment preview route uses finance.payment.create and supplies labelled split options, the current default, and its label. A recorder no longer needs settings-read access to offer the choices.</w:t>
      </w:r>
    </w:p>
    <w:p>
      <w:pPr>
        <w:keepLines/>
      </w:pPr>
      <w:r>
        <w:t xml:space="preserve">• </w:t>
      </w:r>
      <w:r>
        <w:rPr>
          <w:b/>
        </w:rPr>
        <w:t xml:space="preserve">Branch close and custody: </w:t>
      </w:r>
      <w:r>
        <w:t>Settlement and payout work checks the relevant branch period. Payout reads expose custody mode, and provider activity is narrowed to the reader’s branch reach.</w:t>
      </w:r>
    </w:p>
    <w:p>
      <w:pPr>
        <w:keepLines/>
      </w:pPr>
      <w:r>
        <w:t xml:space="preserve">• </w:t>
      </w:r>
      <w:r>
        <w:rPr>
          <w:b/>
        </w:rPr>
        <w:t xml:space="preserve">Paystack sweep: </w:t>
      </w:r>
      <w:r>
        <w:t>The daily held-ledger comparison allows the configured platform sweep tolerance without masking other differences.</w:t>
      </w:r>
    </w:p>
    <w:p>
      <w:pPr>
        <w:keepLines/>
      </w:pPr>
      <w:r>
        <w:t xml:space="preserve">• </w:t>
      </w:r>
      <w:r>
        <w:rPr>
          <w:b/>
        </w:rPr>
        <w:t xml:space="preserve">Readable batches: </w:t>
      </w:r>
      <w:r>
        <w:t>Payout batch rows carry display_status; summary counts match their tabs, and approval=returned identifies sent-back batches separately.</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Held-custody refunds reserve the branch held balance and call Paystack only after approval. Confirmed refunds book customer credit against gateway clearing; failed refunds return to draft.</w:t>
      </w:r>
    </w:p>
    <w:p>
      <w:pPr>
        <w:spacing w:after="60"/>
      </w:pPr>
      <w:r>
        <w:t>• The public collection-status route is unsigned but throttled and returns only status, amount, payee name and paid time. Random references prevent enumeration; old sequential references answer not found.</w:t>
      </w:r>
    </w:p>
    <w:p>
      <w:pPr>
        <w:spacing w:after="60"/>
      </w:pPr>
      <w:r>
        <w:t>• Each branch can have a Paystack Virtual Terminal. Terminal money books to that branch, can match one customer by email, otherwise waits for branch-only review, and direct-custody terminals route through the branch subaccount.</w:t>
      </w:r>
    </w:p>
    <w:p>
      <w:pPr>
        <w:spacing w:after="60"/>
      </w:pPr>
      <w:r>
        <w:t>• Payroll payouts run per branch from held balances, reserve and book transfer fees, retry failed lines or record bank payment, and never spend another tenant's held money.</w:t>
      </w:r>
    </w:p>
    <w:p>
      <w:pPr>
        <w:spacing w:after="60"/>
      </w:pPr>
      <w:r>
        <w:t>• Current gaps: Paystack refund and transfer timing and payload facts remain unconfirmed; unmatched terminal receipts and failed payroll payouts have no notification.</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00"/>
        <w:gridCol w:w="1600"/>
        <w:gridCol w:w="7668"/>
      </w:tblGrid>
      <w:tr w:rsidR="00A62A3E">
        <w:trPr>
          <w:cantSplit/>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1.17</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p/>
    <w:p/>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1.15</cp:version>
</cp:coreProperties>
</file>