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M22</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1.18</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XVS Module Requirements Document v2.106 | Module M22</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Shared sourcing: </w:t>
      </w:r>
      <w:r>
        <w:t>Complete requisition lines from several branches can enter one vendor-facing RFQ. Award creates one purchase order per participating branch, and every new order has a real branch.</w:t>
      </w:r>
    </w:p>
    <w:p>
      <w:pPr>
        <w:keepLines/>
      </w:pPr>
      <w:r>
        <w:t xml:space="preserve">• </w:t>
      </w:r>
      <w:r>
        <w:rPr>
          <w:b/>
        </w:rPr>
        <w:t xml:space="preserve">One live sourcing: </w:t>
      </w:r>
      <w:r>
        <w:t>A requisition line may sit on only one live RFQ, shared RFQ, or uncancelled purchase order. Cancellation or closure without award frees it, and award hands each ordered line to the resulting order.</w:t>
      </w:r>
    </w:p>
    <w:p>
      <w:pPr>
        <w:keepLines/>
      </w:pPr>
      <w:r>
        <w:t xml:space="preserve">• </w:t>
      </w:r>
      <w:r>
        <w:rPr>
          <w:b/>
        </w:rPr>
        <w:t xml:space="preserve">Returned procurement: </w:t>
      </w:r>
      <w:r>
        <w:t>Returned requisitions, orders, bills, payments, and vendor credit notes remain inside their open approval request. Only the sender may correct them; resume reruns pricing, matching, settlement, and delivery checks.</w:t>
      </w:r>
    </w:p>
    <w:p>
      <w:pPr>
        <w:keepLines/>
      </w:pPr>
      <w:r>
        <w:t xml:space="preserve">• </w:t>
      </w:r>
      <w:r>
        <w:rPr>
          <w:b/>
        </w:rPr>
        <w:t xml:space="preserve">Safe editing and pickers: </w:t>
      </w:r>
      <w:r>
        <w:t>RFQ and requisition edits preserve line links by id, free-line filters use the same live-sourcing rule, and pickers omit lines already taken without adding a query per line.</w:t>
      </w:r>
    </w:p>
    <w:p>
      <w:pPr>
        <w:keepLines/>
      </w:pPr>
      <w:r>
        <w:t xml:space="preserve">• </w:t>
      </w:r>
      <w:r>
        <w:rPr>
          <w:b/>
        </w:rPr>
        <w:t xml:space="preserve">Branch and reference contracts: </w:t>
      </w:r>
      <w:r>
        <w:t>Every document is checked against its own branch month. Finance account, tax, cost-centre, and customer references follow the shared number-is-id and string-is-code rule.</w:t>
      </w:r>
    </w:p>
    <w:p>
      <w:pPr>
        <w:keepLines/>
      </w:pPr>
      <w:r>
        <w:t xml:space="preserve">• </w:t>
      </w:r>
      <w:r>
        <w:rPr>
          <w:b/>
        </w:rPr>
        <w:t xml:space="preserve">Readable operations: </w:t>
      </w:r>
      <w:r>
        <w:t>Lists expose approval_returned, display status, human refusals, labels, matching counts, and the Partly received export path.</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Requisition and sourcing reads and writes apply Field Access to registered figures and narrative fields, including approval snapshots and exports.</w:t>
      </w:r>
    </w:p>
    <w:p>
      <w:pPr>
        <w:spacing w:after="60"/>
      </w:pPr>
      <w:r>
        <w:t>• Branch reach is enforced in budget checks and shared sourcing. Vendor and document names remain identifiers without field switches.</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v2.93.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1.16</cp:version>
</cp:coreProperties>
</file>