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1.18</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M23</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1.18</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M23</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pPr>
        <w:pStyle w:val="Heading2"/>
      </w:pPr>
      <w:r>
        <w:t>D83-D102 Current Contracts</w:t>
      </w:r>
    </w:p>
    <w:p>
      <w:pPr/>
      <w:r>
        <w:t>These contracts state current behavior at the committed evidence boundary and replace an earlier sentence wherever the two disagree.</w:t>
      </w:r>
    </w:p>
    <w:p>
      <w:r>
        <w:t>A vendor credit note corrects a posted bill in full, by amount or by line, follows its own approval route, and becomes branch-owned vendor credit when the bill is already paid. Unpaid and uncredited bills can be voided, restoring purchase-order quantities. Goods returns reverse stock at receipt cost and GR/IR only for quantities not already billed beyond the return.</w:t>
      </w:r>
    </w:p>
    <w:p>
      <w:r>
        <w:t>Opening supplier bills preserve their original date and branch, debit retained earnings and credit AP. Bulk import accepts at most 500 rows atomically and is refused from the first non-opening journal onward.</w:t>
      </w:r>
    </w:p>
    <w:p>
      <w:r>
        <w:t>Supplier payment uses a bank account of the bill's own branch. The FAL checks reach at every continuation and never permits a head-office purchase without a branch.</w:t>
      </w:r>
    </w:p>
    <w:p>
      <w:r>
        <w:t>Current limit: the product screens do not yet expose all vendor-credit, opening-bill and goods-return actions.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Branch-owned orders: </w:t>
      </w:r>
      <w:r>
        <w:t>A shared sourcing award produces separate purchase orders by branch, and every order, receipt, bill, payment, return, and close check keeps that branch through the payables chain.</w:t>
      </w:r>
    </w:p>
    <w:p>
      <w:pPr>
        <w:keepLines/>
      </w:pPr>
      <w:r>
        <w:t xml:space="preserve">• </w:t>
      </w:r>
      <w:r>
        <w:rPr>
          <w:b/>
        </w:rPr>
        <w:t xml:space="preserve">Returned documents: </w:t>
      </w:r>
      <w:r>
        <w:t>Returned orders, vendor invoices, vendor payments, and vendor credit notes are corrected only by their sender and resumed through the existing workflow instance. An open approval prevents cancellation through a competing path.</w:t>
      </w:r>
    </w:p>
    <w:p>
      <w:pPr>
        <w:keepLines/>
      </w:pPr>
      <w:r>
        <w:t xml:space="preserve">• </w:t>
      </w:r>
      <w:r>
        <w:rPr>
          <w:b/>
        </w:rPr>
        <w:t xml:space="preserve">Evidence retention: </w:t>
      </w:r>
      <w:r>
        <w:t>Removing an attachment from a non-draft supplier bill or payment requires a reason and marks it superseded. The stored file and history remain available through the authorised evidence view.</w:t>
      </w:r>
    </w:p>
    <w:p>
      <w:pPr>
        <w:keepLines/>
      </w:pPr>
      <w:r>
        <w:t xml:space="preserve">• </w:t>
      </w:r>
      <w:r>
        <w:rPr>
          <w:b/>
        </w:rPr>
        <w:t xml:space="preserve">WHT and status reads: </w:t>
      </w:r>
      <w:r>
        <w:t>Vendor-payment WHT can be recomputed after correction, vendor credit-note detail identifies its approval request, and lists expose returned and display states with readable labels.</w:t>
      </w:r>
    </w:p>
    <w:p>
      <w:pPr>
        <w:keepLines/>
      </w:pPr>
      <w:r>
        <w:t xml:space="preserve">• </w:t>
      </w:r>
      <w:r>
        <w:rPr>
          <w:b/>
        </w:rPr>
        <w:t xml:space="preserve">Reference safety: </w:t>
      </w:r>
      <w:r>
        <w:t>Procurement account, tax-code, customer, and cost-centre references share the code-or-id resolver, so numeric codes do not collide with unrelated primary keys.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Purchase orders, receipts, bills, returns and vendor payments apply Field Access across API payloads, approval cards, documents and exports.</w:t>
      </w:r>
    </w:p>
    <w:p>
      <w:pPr>
        <w:spacing w:after="60"/>
      </w:pPr>
      <w:r>
        <w:t>• Branch reach is enforced on vendor invoice reference checks, contract-linked orders and goods activity. Outside-party documents remain complete system surfaces.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v2.93.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00"/>
        <w:gridCol w:w="1600"/>
        <w:gridCol w:w="7668"/>
      </w:tblGrid>
      <w:tr w:rsidR="00A62A3E" w14:paraId="28CC6BCD" w14:textId="77777777">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p/>
    <w:p/>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1.16</cp:version>
  <dc:title>XVS M23 Purchase Orders Delivery and AP Functional Requirements Document v1.16</dc:title>
</cp:coreProperties>
</file>