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1.9</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14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850e5b45 (14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XVS Module Requirements Document v2.106 | Module M26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r>
              <w:t xml:space="preserve"> Finance's direct statutory-pack downloads remain under the finance report endpoint and permission, outside the Export Centre run and file lifecycle.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 following rules clarify the data and period boundaries of direct finance reports and Export Centre output.</w:t>
      </w:r>
    </w:p>
    <w:p>
      <w:r>
        <w:t>Default export date windows end on the school's day. The statutory pack accepts fiscal_year, limits its profit and loss to that year and excludes the closing period; balance-sheet and trial-balance views keep the closing period where applicable.</w:t>
      </w:r>
      <w:r>
        <w:t xml:space="preserve"> Its direct finance report export now repeats four statement-window headings from the JSON response in CSV, XLSX and PDF and includes cash-flow and equity summaries. This finance endpoint does not create an Export Centre run or file.</w:t>
      </w:r>
    </w:p>
    <w:p>
      <w:pPr>
        <w:pStyle w:val="Heading2"/>
      </w:pPr>
      <w:r>
        <w:t>Display and Branch Reach</w:t>
      </w:r>
    </w:p>
    <w:p>
      <w:pPr/>
      <w:r>
        <w:t>People-mode formatting and dataset reach follow the rules below.</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Screen Output and Export Windows</w:t>
      </w:r>
    </w:p>
    <w:p>
      <w:pPr>
        <w:keepLines/>
      </w:pPr>
      <w:r>
        <w:t>Quick exports keep the visible window, and readable output names the period it covers. Deployment and production adoption require separate evidence.</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r>
        <w:t xml:space="preserve"> The statutory-pack file and screen use identical position, income, cash-flow and equity window words.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search, filters, sorts, columns and metadata follow Field Access. Hidden search columns are ignored, hidden single-column filters fail, hidden sorts drop, and saved or scheduled runs fail with FILTER_FORBIDDEN.</w:t>
      </w:r>
    </w:p>
    <w:p>
      <w:pPr>
        <w:spacing w:after="60"/>
      </w:pPr>
      <w:r>
        <w:t>• Student export name, birth date, address, phone and email now follow their switches in addition to the sensitive-export key.</w:t>
      </w:r>
    </w:p>
    <w:p>
      <w:pPr>
        <w:spacing w:after="60"/>
      </w:pPr>
      <w:r>
        <w:t>• Attendance CSV downloads are immediate. Gradebook build 1 produces report-card data for browser printing; build 2 retains analytics CSV/XLSX and bulk-sheet work.</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v2.101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