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t>Prepared by: CodeX Team</w:t>
              <w:br/>
              <w:t>Version: 2.106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2.106</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Committed backend through 850e5b45 (14 October 2026). Backend evidence only; no deployment claim.</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513</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and vs_gradebook;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r/>
            <w:r>
              <w:rPr>
                <w:b w:val="0"/>
                <w:sz w:val="16"/>
              </w:rPr>
              <w:t>24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r/>
            <w:r>
              <w:rPr>
                <w:b w:val="0"/>
                <w:sz w:val="16"/>
              </w:rPr>
              <w:t>V2</w:t>
            </w:r>
          </w:p>
        </w:tc>
        <w:tc>
          <w:tcPr>
            <w:tcW w:w="1123" w:type="dxa"/>
            <w:shd w:val="clear" w:color="auto" w:fill="ECEFF3"/>
            <w:tcMar>
              <w:top w:w="70" w:type="dxa"/>
              <w:left w:w="90" w:type="dxa"/>
              <w:bottom w:w="70" w:type="dxa"/>
              <w:right w:w="90" w:type="dxa"/>
            </w:tcMar>
            <w:vAlign w:val="center"/>
          </w:tcPr>
          <w:p>
            <w:r/>
            <w:r>
              <w:rPr>
                <w:b w:val="0"/>
                <w:sz w:val="16"/>
              </w:rPr>
              <w:t>Partial</w:t>
            </w:r>
          </w:p>
        </w:tc>
        <w:tc>
          <w:tcPr>
            <w:tcW w:w="1238" w:type="dxa"/>
            <w:shd w:val="clear" w:color="auto" w:fill="ECEFF3"/>
            <w:tcMar>
              <w:top w:w="70" w:type="dxa"/>
              <w:left w:w="90" w:type="dxa"/>
              <w:bottom w:w="70" w:type="dxa"/>
              <w:right w:w="90" w:type="dxa"/>
            </w:tcMar>
            <w:vAlign w:val="center"/>
          </w:tcPr>
          <w:p>
            <w:r/>
            <w:r>
              <w:rPr>
                <w:b w:val="0"/>
                <w:sz w:val="16"/>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r/>
            <w:r>
              <w:rPr>
                <w:b w:val="0"/>
                <w:sz w:val="16"/>
              </w:rPr>
              <w:t>V2</w:t>
            </w:r>
          </w:p>
        </w:tc>
        <w:tc>
          <w:tcPr>
            <w:tcW w:w="1123" w:type="dxa"/>
            <w:shd w:val="clear" w:color="auto" w:fill="ECEFF3"/>
            <w:tcMar>
              <w:top w:w="70" w:type="dxa"/>
              <w:left w:w="90" w:type="dxa"/>
              <w:bottom w:w="70" w:type="dxa"/>
              <w:right w:w="90" w:type="dxa"/>
            </w:tcMar>
            <w:vAlign w:val="center"/>
          </w:tcPr>
          <w:p>
            <w:r/>
            <w:r>
              <w:rPr>
                <w:b w:val="0"/>
                <w:sz w:val="16"/>
              </w:rPr>
              <w:t>Partial</w:t>
            </w:r>
          </w:p>
        </w:tc>
        <w:tc>
          <w:tcPr>
            <w:tcW w:w="1238" w:type="dxa"/>
            <w:shd w:val="clear" w:color="auto" w:fill="ECEFF3"/>
            <w:tcMar>
              <w:top w:w="70" w:type="dxa"/>
              <w:left w:w="90" w:type="dxa"/>
              <w:bottom w:w="70" w:type="dxa"/>
              <w:right w:w="90" w:type="dxa"/>
            </w:tcMar>
            <w:vAlign w:val="center"/>
          </w:tcPr>
          <w:p>
            <w:r/>
            <w:r>
              <w:rPr>
                <w:b w:val="0"/>
                <w:sz w:val="16"/>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Documented by M01 FRD v1.33.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v1.34.</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r>
              <w:rPr>
                <w:b w:val="0"/>
                <w:sz w:val="16"/>
              </w:rPr>
              <w:t>Attendance is implemented across daily, lesson and staff registers. Gradebook build 1 is implemented through published and released report cards. Remaining academic work is Gradebook build 2, portal delivery, and the still-unrecorded staff contract hours and specialism used by timetable planning.</w:t>
            </w:r>
          </w:p>
        </w:tc>
        <w:tc>
          <w:tcPr>
            <w:tcW w:w="1325" w:type="dxa"/>
            <w:shd w:val="clear" w:color="auto" w:fill="FFFFFF"/>
            <w:tcMar>
              <w:top w:w="70" w:type="dxa"/>
              <w:left w:w="90" w:type="dxa"/>
              <w:bottom w:w="70" w:type="dxa"/>
              <w:right w:w="90" w:type="dxa"/>
            </w:tcMar>
            <w:vAlign w:val="center"/>
          </w:tcPr>
          <w:p>
            <w:r/>
            <w:r>
              <w:rPr>
                <w:b w:val="0"/>
                <w:sz w:val="16"/>
              </w:rPr>
              <w:t>M12, M14, M16,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471 fields and open product decisions; it remains current work.</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c>
          <w:tcPr>
            <w:tcW w:type="dxa" w:w="1080"/>
          </w:tcPr>
          <w:p>
            <w:r>
              <w:t>2.105</w:t>
            </w:r>
          </w:p>
        </w:tc>
        <w:tc>
          <w:tcPr>
            <w:tcW w:type="dxa" w:w="1655"/>
          </w:tcPr>
          <w:p>
            <w:r>
              <w:t>12 October 2026</w:t>
            </w:r>
          </w:p>
        </w:tc>
        <w:tc>
          <w:tcPr>
            <w:tcW w:type="dxa" w:w="7732"/>
          </w:tcPr>
          <w:p>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blGrid>
        <w:gridCol w:w="1080"/>
        <w:gridCol w:w="1655"/>
        <w:gridCol w:w="7732"/>
      </w:tblGrid>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2.106</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c>
          <w:tcPr>
            <w:tcW w:type="dxa" w:w="1080"/>
          </w:tcPr>
          <w:p>
            <w:r>
              <w:t>2.105</w:t>
            </w:r>
          </w:p>
        </w:tc>
        <w:tc>
          <w:tcPr>
            <w:tcW w:type="dxa" w:w="1655"/>
          </w:tcPr>
          <w:p>
            <w:r>
              <w:t>12 October 2026</w:t>
            </w:r>
          </w:p>
        </w:tc>
        <w:tc>
          <w:tcPr>
            <w:tcW w:type="dxa" w:w="7732"/>
          </w:tcPr>
          <w:p>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c>
          <w:tcPr>
            <w:tcW w:type="dxa" w:w="1080"/>
          </w:tcPr>
          <w:p>
            <w:r>
              <w:t>2.104</w:t>
            </w:r>
          </w:p>
        </w:tc>
        <w:tc>
          <w:tcPr>
            <w:tcW w:type="dxa" w:w="1655"/>
          </w:tcPr>
          <w:p>
            <w:r>
              <w:t>10 October 2026</w:t>
            </w:r>
          </w:p>
        </w:tc>
        <w:tc>
          <w:tcPr>
            <w:tcW w:type="dxa" w:w="7732"/>
          </w:tcPr>
          <w:p>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2.103</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9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2.102</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