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2.27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2.27</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t>25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main at 8ecda83 with guide analytics event, summary, retention, and rate-limit changes (25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449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v2.26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Four rules Module 1 recorded and did not keep</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11</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21</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t>15</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 xml:space="preserve">Authentication, invitations, account security, sessions, platform staff, and organization-position structures. Which side of the platform boundary a person sits on is read from their tenant; the User.user_type persona column that used to shadow it is gone, and a new account now lands in the acting user's own tenant rather than in one the request body names.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xml:space="preserve">▸  Tenant boundary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Every permission and permission group now declares whether it is a platform key or a tenant key, and a platform key granted inside a tenant is refused on the role path and the override path alike. Branch reach is resolved from the grants alone,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A privilege escalation that ran through this module is closed: until 19 August 2026 nothing stopped a school role or a per-user override carrying a platform key, so a school administrator could grant themselves cross-tenant reach. The boundary is now a declared scope on the permission rather than a convention about its name.</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v2.27 Documentation Delta</w:t>
      </w:r>
    </w:p>
    <w:p w14:paraId="4C4A5E5A" w14:textId="77777777" w:rsidR="00472341" w:rsidRDefault="00000000">
      <w:pPr>
        <w:spacing w:after="100" w:line="240" w:lineRule="auto" w:before="0"/>
      </w:pPr>
      <w:r>
        <w:t>This revision records the privacy-safe how-to editorial loop and closes its ingestion-volume gap. Active users may send only six closed event shapes for guide views, reader-marked completions, helpful votes, outdated-guide handoffs, walkthrough exits, and settled no-result searches. The stored row has no tenant, actor, business-record, form-value, amount, email, or arbitrary metadata dimension; no-result text is reduced through an approved task vocabulary before persistence. Only a platform user holding platform.health.view may read bounded aggregate summaries, and raw events expire after 180 days. The ingestion endpoint is scoped to 120 events per authenticated user per minute so a broken client or deliberate script cannot flood the table or dominate editorial counts. Module 31 gains two capability entries, moving from 13 to 15, and the document total rises from 447 to 449. Module state, ownership, priority gaps, and build order are unchanged.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t>v2.27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Guide friction had no closed, privacy-safe event contract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Added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The event serializer accepts only six named event shapes and their event-specific fields. Unknown fields, invalid ids, live routes, and non-zero no-result counts are refused before persistence.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No-result searches could carry a person's or record's value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Prevented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The backend tokenises search text through a closed guide-task vocabulary, replaces unknown words with [redacted], drops numbers, and stores only normalized route patterns. The event model has no tenant, actor, record, or arbitrary metadata relation.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Editorial signals needed a bounded reader and lifetime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Added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Aggregate summaries require platform.health.view, accept a 1 to 365-day window, return bounded counts rather than raw rows, and expose no tenant split. A nightly task and management command delete events older than 180 days.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An active user could send analytics events without a volume ceiling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ScopedRateThrottle now limits the guide analytics ingestion endpoint to 120 events per authenticated user per minute. Focused coverage proves requests beyond the configured scope receive HTTP 429 and do not create rows.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v2.20.1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XVision Module Requirements Document v2.27</dc:title>
  <dc:subject>31-module code-aligned capability tracker</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2.20.1</cp:version>
</cp:coreProperties>
</file>