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2.6</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2.6</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12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backend codebase at a54938e0bded532f801ef3d5c6957ffa7c66cf93 (12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A4EB30C" w14:textId="77777777" w:rsidR="00472341" w:rsidRDefault="00000000">
            <w:pPr>
              <w:spacing w:after="0" w:before="0" w:line="240" w:lineRule="auto"/>
              <w:jc w:val="left"/>
            </w:pPr>
            <w:r>
              <w:rPr>
                <w:rFonts w:ascii="Aptos Narrow" w:hAnsi="Aptos Narrow"/>
                <w:b w:val="0"/>
                <w:color w:val="000000"/>
                <w:sz w:val="17"/>
              </w:rPr>
              <w:t>393</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color w:val="355B9D"/>
                <w:sz w:val="17"/>
              </w:rPr>
              <w:t>5. v2.5.1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Terminology, organization, metadata, and presentation corrections</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15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15</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18</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12</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14</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12</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12</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18EEAC2" w14:textId="77777777" w:rsidR="00472341" w:rsidRDefault="00000000">
            <w:pPr>
              <w:spacing w:after="0"/>
              <w:jc w:val="center"/>
            </w:pPr>
            <w:r>
              <w:rPr>
                <w:color w:val="000000"/>
                <w:sz w:val="14"/>
              </w:rPr>
              <w:t>10</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4D849F52" w14:textId="77777777" w:rsidR="00472341" w:rsidRDefault="00000000">
            <w:pPr>
              <w:spacing w:after="20"/>
              <w:ind w:left="86" w:hanging="86"/>
            </w:pPr>
            <w:r>
              <w:rPr>
                <w:sz w:val="16"/>
              </w:rPr>
              <w:t>• Fix branch lifecycle transitions: the current save call references a deleted_at field that Branch does not define.</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RBAC and organogram approvers, branching rules, delegations, actions, and operational queues.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gridSpan w:val="2"/>
            <w:shd w:val="clear" w:color="auto" w:fill="FFFFFF"/>
            <w:tcMar>
              <w:top w:w="70" w:type="dxa"/>
              <w:left w:w="90" w:type="dxa"/>
              <w:bottom w:w="70" w:type="dxa"/>
              <w:right w:w="90" w:type="dxa"/>
            </w:tcMar>
            <w:vAlign w:val="center"/>
          </w:tcPr>
          <w:p w14:paraId="206CA97D" w14:textId="77777777" w:rsidR="00472341" w:rsidRDefault="00000000">
            <w:pPr>
              <w:spacing w:after="0"/>
            </w:pPr>
            <w:r>
              <w:rPr>
                <w:color w:val="000000"/>
                <w:sz w:val="16"/>
              </w:rPr>
              <w:t>▸  Conditional routing and branch paths</w:t>
            </w:r>
          </w:p>
        </w:tc>
      </w:tr>
      <w:tr w:rsidR="00472341" w14:paraId="69B5B8B1" w14:textId="77777777">
        <w:trPr>
          <w:cantSplit/>
          <w:jc w:val="center"/>
        </w:trPr>
        <w:tc>
          <w:tcPr>
            <w:tcW w:w="5126" w:type="dxa"/>
            <w:shd w:val="clear" w:color="auto" w:fill="F2F5FA"/>
            <w:tcMar>
              <w:top w:w="70" w:type="dxa"/>
              <w:left w:w="90" w:type="dxa"/>
              <w:bottom w:w="70" w:type="dxa"/>
              <w:right w:w="90" w:type="dxa"/>
            </w:tcMar>
            <w:vAlign w:val="center"/>
          </w:tcPr>
          <w:p w14:paraId="66E0A7AB" w14:textId="77777777" w:rsidR="00472341" w:rsidRDefault="00000000">
            <w:pPr>
              <w:spacing w:after="0"/>
            </w:pPr>
            <w:r>
              <w:rPr>
                <w:color w:val="000000"/>
                <w:sz w:val="16"/>
              </w:rPr>
              <w:t>▸  Any, quorum, and unanimous approval modes</w:t>
            </w:r>
          </w:p>
        </w:tc>
        <w:tc>
          <w:tcPr>
            <w:tcW w:w="5126" w:type="dxa"/>
            <w:gridSpan w:val="2"/>
            <w:shd w:val="clear" w:color="auto" w:fill="F2F5FA"/>
            <w:tcMar>
              <w:top w:w="70" w:type="dxa"/>
              <w:left w:w="90" w:type="dxa"/>
              <w:bottom w:w="70" w:type="dxa"/>
              <w:right w:w="90" w:type="dxa"/>
            </w:tcMar>
            <w:vAlign w:val="center"/>
          </w:tcPr>
          <w:p w14:paraId="538D2AF4" w14:textId="77777777" w:rsidR="00472341" w:rsidRDefault="00000000">
            <w:pPr>
              <w:spacing w:after="0"/>
            </w:pPr>
            <w:r>
              <w:rPr>
                <w:color w:val="000000"/>
                <w:sz w:val="16"/>
              </w:rPr>
              <w:t>▸  RBAC-based approver resolution</w:t>
            </w:r>
          </w:p>
        </w:tc>
      </w:tr>
      <w:tr w:rsidR="00472341" w14:paraId="5C71C30D" w14:textId="77777777">
        <w:trPr>
          <w:cantSplit/>
          <w:jc w:val="center"/>
        </w:trPr>
        <w:tc>
          <w:tcPr>
            <w:tcW w:w="5126" w:type="dxa"/>
            <w:shd w:val="clear" w:color="auto" w:fill="FFFFFF"/>
            <w:tcMar>
              <w:top w:w="70" w:type="dxa"/>
              <w:left w:w="90" w:type="dxa"/>
              <w:bottom w:w="70" w:type="dxa"/>
              <w:right w:w="90" w:type="dxa"/>
            </w:tcMar>
            <w:vAlign w:val="center"/>
          </w:tcPr>
          <w:p w14:paraId="7B7B4746" w14:textId="77777777" w:rsidR="00472341" w:rsidRDefault="00000000">
            <w:pPr>
              <w:spacing w:after="0"/>
            </w:pPr>
            <w:r>
              <w:rPr>
                <w:color w:val="000000"/>
                <w:sz w:val="16"/>
              </w:rPr>
              <w:t>▸  Organogram-based approver resolution</w:t>
            </w:r>
          </w:p>
        </w:tc>
        <w:tc>
          <w:tcPr>
            <w:tcW w:w="5126" w:type="dxa"/>
            <w:gridSpan w:val="2"/>
            <w:shd w:val="clear" w:color="auto" w:fill="FFFFFF"/>
            <w:tcMar>
              <w:top w:w="70" w:type="dxa"/>
              <w:left w:w="90" w:type="dxa"/>
              <w:bottom w:w="70" w:type="dxa"/>
              <w:right w:w="90" w:type="dxa"/>
            </w:tcMar>
            <w:vAlign w:val="center"/>
          </w:tcPr>
          <w:p w14:paraId="436A34A0" w14:textId="77777777" w:rsidR="00472341" w:rsidRDefault="00000000">
            <w:pPr>
              <w:spacing w:after="0"/>
            </w:pPr>
            <w:r>
              <w:rPr>
                <w:color w:val="000000"/>
                <w:sz w:val="16"/>
              </w:rPr>
              <w:t>▸  Entity and branch scope context</w:t>
            </w:r>
          </w:p>
        </w:tc>
      </w:tr>
      <w:tr w:rsidR="00472341" w14:paraId="18D22970" w14:textId="77777777">
        <w:trPr>
          <w:cantSplit/>
          <w:jc w:val="center"/>
        </w:trPr>
        <w:tc>
          <w:tcPr>
            <w:tcW w:w="5126" w:type="dxa"/>
            <w:shd w:val="clear" w:color="auto" w:fill="F2F5FA"/>
            <w:tcMar>
              <w:top w:w="70" w:type="dxa"/>
              <w:left w:w="90" w:type="dxa"/>
              <w:bottom w:w="70" w:type="dxa"/>
              <w:right w:w="90" w:type="dxa"/>
            </w:tcMar>
            <w:vAlign w:val="center"/>
          </w:tcPr>
          <w:p w14:paraId="1354BD44" w14:textId="77777777" w:rsidR="00472341" w:rsidRDefault="00000000">
            <w:pPr>
              <w:spacing w:after="0"/>
            </w:pPr>
            <w:r>
              <w:rPr>
                <w:color w:val="000000"/>
                <w:sz w:val="16"/>
              </w:rPr>
              <w:t>▸  Submit, approve, reject, return, cancel, and resubmit</w:t>
            </w:r>
          </w:p>
        </w:tc>
        <w:tc>
          <w:tcPr>
            <w:tcW w:w="5126" w:type="dxa"/>
            <w:gridSpan w:val="2"/>
            <w:shd w:val="clear" w:color="auto" w:fill="F2F5FA"/>
            <w:tcMar>
              <w:top w:w="70" w:type="dxa"/>
              <w:left w:w="90" w:type="dxa"/>
              <w:bottom w:w="70" w:type="dxa"/>
              <w:right w:w="90" w:type="dxa"/>
            </w:tcMar>
            <w:vAlign w:val="center"/>
          </w:tcPr>
          <w:p w14:paraId="34ED90A0" w14:textId="77777777" w:rsidR="00472341" w:rsidRDefault="00000000">
            <w:pPr>
              <w:spacing w:after="0"/>
            </w:pPr>
            <w:r>
              <w:rPr>
                <w:color w:val="000000"/>
                <w:sz w:val="16"/>
              </w:rPr>
              <w:t>▸  No-approver handling policy</w:t>
            </w:r>
          </w:p>
        </w:tc>
      </w:tr>
      <w:tr w:rsidR="00472341" w14:paraId="27B8C63A" w14:textId="77777777">
        <w:trPr>
          <w:cantSplit/>
          <w:jc w:val="center"/>
        </w:trPr>
        <w:tc>
          <w:tcPr>
            <w:tcW w:w="5126" w:type="dxa"/>
            <w:shd w:val="clear" w:color="auto" w:fill="FFFFFF"/>
            <w:tcMar>
              <w:top w:w="70" w:type="dxa"/>
              <w:left w:w="90" w:type="dxa"/>
              <w:bottom w:w="70" w:type="dxa"/>
              <w:right w:w="90" w:type="dxa"/>
            </w:tcMar>
            <w:vAlign w:val="center"/>
          </w:tcPr>
          <w:p w14:paraId="518C62F6" w14:textId="77777777" w:rsidR="00472341" w:rsidRDefault="00000000">
            <w:pPr>
              <w:spacing w:after="0"/>
            </w:pPr>
            <w:r>
              <w:rPr>
                <w:color w:val="000000"/>
                <w:sz w:val="16"/>
              </w:rPr>
              <w:t>▸  Action reversal and decision history</w:t>
            </w:r>
          </w:p>
        </w:tc>
        <w:tc>
          <w:tcPr>
            <w:tcW w:w="5126" w:type="dxa"/>
            <w:gridSpan w:val="2"/>
            <w:shd w:val="clear" w:color="auto" w:fill="FFFFFF"/>
            <w:tcMar>
              <w:top w:w="70" w:type="dxa"/>
              <w:left w:w="90" w:type="dxa"/>
              <w:bottom w:w="70" w:type="dxa"/>
              <w:right w:w="90" w:type="dxa"/>
            </w:tcMar>
            <w:vAlign w:val="center"/>
          </w:tcPr>
          <w:p w14:paraId="11BD56D4" w14:textId="77777777" w:rsidR="00472341" w:rsidRDefault="00000000">
            <w:pPr>
              <w:spacing w:after="0"/>
            </w:pPr>
            <w:r>
              <w:rPr>
                <w:color w:val="000000"/>
                <w:sz w:val="16"/>
              </w:rPr>
              <w:t>▸  Approval delegation</w:t>
            </w:r>
          </w:p>
        </w:tc>
      </w:tr>
      <w:tr w:rsidR="00472341" w14:paraId="71CF06B7" w14:textId="77777777">
        <w:trPr>
          <w:cantSplit/>
          <w:jc w:val="center"/>
        </w:trPr>
        <w:tc>
          <w:tcPr>
            <w:tcW w:w="5126" w:type="dxa"/>
            <w:shd w:val="clear" w:color="auto" w:fill="F2F5FA"/>
            <w:tcMar>
              <w:top w:w="70" w:type="dxa"/>
              <w:left w:w="90" w:type="dxa"/>
              <w:bottom w:w="70" w:type="dxa"/>
              <w:right w:w="90" w:type="dxa"/>
            </w:tcMar>
            <w:vAlign w:val="center"/>
          </w:tcPr>
          <w:p w14:paraId="76997649" w14:textId="77777777" w:rsidR="00472341" w:rsidRDefault="00000000">
            <w:pPr>
              <w:spacing w:after="0"/>
            </w:pPr>
            <w:r>
              <w:rPr>
                <w:color w:val="000000"/>
                <w:sz w:val="16"/>
              </w:rPr>
              <w:t>▸  Pending, submitted, and team-load dashboards</w:t>
            </w:r>
          </w:p>
        </w:tc>
        <w:tc>
          <w:tcPr>
            <w:tcW w:w="5126" w:type="dxa"/>
            <w:gridSpan w:val="2"/>
            <w:shd w:val="clear" w:color="auto" w:fill="F2F5FA"/>
            <w:tcMar>
              <w:top w:w="70" w:type="dxa"/>
              <w:left w:w="90" w:type="dxa"/>
              <w:bottom w:w="70" w:type="dxa"/>
              <w:right w:w="90" w:type="dxa"/>
            </w:tcMar>
            <w:vAlign w:val="center"/>
          </w:tcPr>
          <w:p w14:paraId="785BB8D7" w14:textId="77777777" w:rsidR="00472341" w:rsidRDefault="00000000">
            <w:pPr>
              <w:spacing w:after="0"/>
            </w:pPr>
            <w:r>
              <w:rPr>
                <w:color w:val="000000"/>
                <w:sz w:val="16"/>
              </w:rPr>
              <w:t>▸  Workflow notifications</w:t>
            </w:r>
          </w:p>
        </w:tc>
      </w:tr>
      <w:tr w:rsidR="00472341" w14:paraId="413474F3" w14:textId="77777777">
        <w:trPr>
          <w:cantSplit/>
          <w:jc w:val="center"/>
        </w:trPr>
        <w:tc>
          <w:tcPr>
            <w:tcW w:w="5126" w:type="dxa"/>
            <w:shd w:val="clear" w:color="auto" w:fill="FFFFFF"/>
            <w:tcMar>
              <w:top w:w="70" w:type="dxa"/>
              <w:left w:w="90" w:type="dxa"/>
              <w:bottom w:w="70" w:type="dxa"/>
              <w:right w:w="90" w:type="dxa"/>
            </w:tcMar>
            <w:vAlign w:val="center"/>
          </w:tcPr>
          <w:p w14:paraId="2E418900" w14:textId="77777777" w:rsidR="00472341" w:rsidRDefault="00000000">
            <w:pPr>
              <w:spacing w:after="0"/>
            </w:pPr>
            <w:r>
              <w:rPr>
                <w:color w:val="000000"/>
                <w:sz w:val="16"/>
              </w:rPr>
              <w:t>▸  Finance workflow handlers</w:t>
            </w:r>
          </w:p>
        </w:tc>
        <w:tc>
          <w:tcPr>
            <w:tcW w:w="5126" w:type="dxa"/>
            <w:gridSpan w:val="2"/>
            <w:shd w:val="clear" w:color="auto" w:fill="FFFFFF"/>
            <w:tcMar>
              <w:top w:w="70" w:type="dxa"/>
              <w:left w:w="90" w:type="dxa"/>
              <w:bottom w:w="70" w:type="dxa"/>
              <w:right w:w="90" w:type="dxa"/>
            </w:tcMar>
            <w:vAlign w:val="center"/>
          </w:tcPr>
          <w:p w14:paraId="23319BD8" w14:textId="77777777" w:rsidR="00472341" w:rsidRDefault="00000000">
            <w:pPr>
              <w:spacing w:after="0"/>
            </w:pPr>
            <w:r>
              <w:rPr>
                <w:color w:val="000000"/>
                <w:sz w:val="16"/>
              </w:rPr>
              <w:t>▸  Procurement workflow handlers</w:t>
            </w:r>
          </w:p>
        </w:tc>
      </w:tr>
      <w:tr w:rsidR="00472341" w14:paraId="37FDD677" w14:textId="77777777">
        <w:trPr>
          <w:cantSplit/>
          <w:jc w:val="center"/>
        </w:trPr>
        <w:tc>
          <w:tcPr>
            <w:tcW w:w="5126" w:type="dxa"/>
            <w:shd w:val="clear" w:color="auto" w:fill="F2F5FA"/>
            <w:tcMar>
              <w:top w:w="70" w:type="dxa"/>
              <w:left w:w="90" w:type="dxa"/>
              <w:bottom w:w="70" w:type="dxa"/>
              <w:right w:w="90" w:type="dxa"/>
            </w:tcMar>
            <w:vAlign w:val="center"/>
          </w:tcPr>
          <w:p w14:paraId="1477730F" w14:textId="77777777" w:rsidR="00472341" w:rsidRDefault="00000000">
            <w:pPr>
              <w:spacing w:after="0"/>
            </w:pPr>
            <w:r>
              <w:rPr>
                <w:color w:val="000000"/>
                <w:sz w:val="16"/>
              </w:rPr>
              <w:t>▸  Payment and payout workflow handlers</w:t>
            </w:r>
          </w:p>
        </w:tc>
        <w:tc>
          <w:tcPr>
            <w:tcW w:w="5126" w:type="dxa"/>
            <w:gridSpan w:val="2"/>
            <w:shd w:val="clear" w:color="auto" w:fill="F2F5FA"/>
            <w:tcMar>
              <w:top w:w="70" w:type="dxa"/>
              <w:left w:w="90" w:type="dxa"/>
              <w:bottom w:w="70" w:type="dxa"/>
              <w:right w:w="90" w:type="dxa"/>
            </w:tcMar>
            <w:vAlign w:val="center"/>
          </w:tcPr>
          <w:p w14:paraId="4585C5B0" w14:textId="77777777" w:rsidR="00472341" w:rsidRDefault="00472341">
            <w:pPr>
              <w:spacing w:after="0"/>
            </w:pP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3B9D73AC" w14:textId="77777777" w:rsidR="00472341" w:rsidRDefault="00000000">
            <w:pPr>
              <w:spacing w:after="20"/>
              <w:ind w:left="86" w:hanging="86"/>
            </w:pPr>
            <w:r>
              <w:rPr>
                <w:sz w:val="16"/>
              </w:rPr>
              <w:t>• Add alerting for failed webhook events. The operator queue, replay action, and platform view for unattributable events are complete.</w:t>
            </w:r>
          </w:p>
          <w:p w14:paraId="226B592A" w14:textId="77777777" w:rsidR="00472341" w:rsidRDefault="00000000">
            <w:pPr>
              <w:spacing w:after="20"/>
              <w:ind w:left="86" w:hanging="86"/>
            </w:pPr>
            <w:r>
              <w:rPr>
                <w:sz w:val="16"/>
              </w:rPr>
              <w:t>• Seed and validate payout-batch approval templates during school onboarding.</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058D01C" w14:textId="77777777" w:rsidR="00472341" w:rsidRDefault="00000000">
            <w:pPr>
              <w:keepNext/>
              <w:spacing w:after="40"/>
            </w:pPr>
            <w:r>
              <w:rPr>
                <w:b/>
                <w:color w:val="2E5495"/>
                <w:sz w:val="17"/>
              </w:rPr>
              <w:t>NEEDS ATTENTION</w:t>
            </w:r>
          </w:p>
          <w:p w14:paraId="5A349052" w14:textId="77777777" w:rsidR="00472341" w:rsidRDefault="00000000">
            <w:pPr>
              <w:spacing w:after="20"/>
              <w:ind w:left="86" w:hanging="86"/>
            </w:pPr>
            <w:r>
              <w:rPr>
                <w:sz w:val="16"/>
              </w:rPr>
              <w:t>• Complete vendor-prepayment accounting and clearing before advance-payment scenarios are treated as finished.</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Review procurement templates that currently skip stages when no approvers resolve; approval should fail closed for controlled spend.</w:t>
            </w:r>
          </w:p>
          <w:p w14:paraId="502C2918" w14:textId="77777777" w:rsidR="00472341" w:rsidRDefault="00000000">
            <w:pPr>
              <w:spacing w:after="20"/>
              <w:ind w:left="86" w:hanging="86"/>
            </w:pPr>
            <w:r>
              <w:rPr>
                <w:sz w:val="16"/>
              </w:rPr>
              <w:t>• Make default approval templates school and branch aware, then seed them during onboarding.</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Dated payment allocations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Finish branch scoping for procurement documents where operational ownership is branch-specific.</w:t>
            </w:r>
          </w:p>
          <w:p w14:paraId="19616EC4" w14:textId="77777777" w:rsidR="00472341" w:rsidRDefault="00000000">
            <w:pPr>
              <w:spacing w:after="20"/>
              <w:ind w:left="86" w:hanging="86"/>
            </w:pPr>
            <w:r>
              <w:rPr>
                <w:sz w:val="16"/>
              </w:rPr>
              <w:t>• Expose an endpoint that applies a vendor advance to a later bill. The posting and clearing service exists, but nothing in the product can call it.</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Add branch and physical-location controls before stock is operated across multiple campuses or stores.</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rPr>
          <w:color w:val="000000"/>
          <w:sz w:val="17"/>
        </w:rPr>
        <w:t>Tenant-aware support queue with comments, files, assignments, controlled status changes, notifications,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44FFB06" w14:textId="77777777">
        <w:trPr>
          <w:cantSplit/>
          <w:jc w:val="center"/>
        </w:trPr>
        <w:tc>
          <w:tcPr>
            <w:tcW w:w="605" w:type="dxa"/>
            <w:shd w:val="clear" w:color="auto" w:fill="FBF1D7"/>
            <w:tcMar>
              <w:top w:w="70" w:type="dxa"/>
              <w:left w:w="90" w:type="dxa"/>
              <w:bottom w:w="70" w:type="dxa"/>
              <w:right w:w="90" w:type="dxa"/>
            </w:tcMar>
            <w:vAlign w:val="center"/>
          </w:tcPr>
          <w:p w14:paraId="65BF5D9B"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7976FFC3" w14:textId="77777777" w:rsidR="00472341" w:rsidRDefault="00000000">
            <w:pPr>
              <w:spacing w:after="0"/>
            </w:pPr>
            <w:r>
              <w:rPr>
                <w:b/>
                <w:color w:val="2E5495"/>
                <w:sz w:val="15"/>
              </w:rPr>
              <w:t>Branch transition defect</w:t>
            </w:r>
          </w:p>
        </w:tc>
        <w:tc>
          <w:tcPr>
            <w:tcW w:w="6091" w:type="dxa"/>
            <w:shd w:val="clear" w:color="auto" w:fill="FBF1D7"/>
            <w:tcMar>
              <w:top w:w="70" w:type="dxa"/>
              <w:left w:w="90" w:type="dxa"/>
              <w:bottom w:w="70" w:type="dxa"/>
              <w:right w:w="90" w:type="dxa"/>
            </w:tcMar>
            <w:vAlign w:val="center"/>
          </w:tcPr>
          <w:p w14:paraId="653ED0BA" w14:textId="77777777" w:rsidR="00472341" w:rsidRDefault="00000000">
            <w:pPr>
              <w:spacing w:after="0"/>
            </w:pPr>
            <w:r>
              <w:rPr>
                <w:color w:val="000000"/>
                <w:sz w:val="15"/>
              </w:rPr>
              <w:t>Remove the invalid deleted_at update or add a deliberate soft-delete model, then cover all transition paths.</w:t>
            </w:r>
          </w:p>
        </w:tc>
        <w:tc>
          <w:tcPr>
            <w:tcW w:w="1325" w:type="dxa"/>
            <w:shd w:val="clear" w:color="auto" w:fill="FBF1D7"/>
            <w:tcMar>
              <w:top w:w="70" w:type="dxa"/>
              <w:left w:w="90" w:type="dxa"/>
              <w:bottom w:w="70" w:type="dxa"/>
              <w:right w:w="90" w:type="dxa"/>
            </w:tcMar>
            <w:vAlign w:val="center"/>
          </w:tcPr>
          <w:p w14:paraId="35DA5732" w14:textId="77777777" w:rsidR="00472341" w:rsidRDefault="00000000">
            <w:pPr>
              <w:spacing w:after="0"/>
              <w:jc w:val="center"/>
            </w:pPr>
            <w:r>
              <w:rPr>
                <w:color w:val="000000"/>
                <w:sz w:val="15"/>
              </w:rPr>
              <w:t>M1</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77261CFA" w14:textId="77777777">
        <w:trPr>
          <w:cantSplit/>
          <w:jc w:val="center"/>
        </w:trPr>
        <w:tc>
          <w:tcPr>
            <w:tcW w:w="605" w:type="dxa"/>
            <w:shd w:val="clear" w:color="auto" w:fill="FBF1D7"/>
            <w:tcMar>
              <w:top w:w="70" w:type="dxa"/>
              <w:left w:w="90" w:type="dxa"/>
              <w:bottom w:w="70" w:type="dxa"/>
              <w:right w:w="90" w:type="dxa"/>
            </w:tcMar>
            <w:vAlign w:val="center"/>
          </w:tcPr>
          <w:p w14:paraId="1A43E3DF"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89B243" w14:textId="77777777" w:rsidR="00472341" w:rsidRDefault="00000000">
            <w:pPr>
              <w:spacing w:after="0"/>
            </w:pPr>
            <w:r>
              <w:rPr>
                <w:b/>
                <w:color w:val="2E5495"/>
                <w:sz w:val="15"/>
              </w:rPr>
              <w:t>Procurement approval fail-closed behavior</w:t>
            </w:r>
          </w:p>
        </w:tc>
        <w:tc>
          <w:tcPr>
            <w:tcW w:w="6091" w:type="dxa"/>
            <w:shd w:val="clear" w:color="auto" w:fill="FBF1D7"/>
            <w:tcMar>
              <w:top w:w="70" w:type="dxa"/>
              <w:left w:w="90" w:type="dxa"/>
              <w:bottom w:w="70" w:type="dxa"/>
              <w:right w:w="90" w:type="dxa"/>
            </w:tcMar>
            <w:vAlign w:val="center"/>
          </w:tcPr>
          <w:p w14:paraId="72887C6B" w14:textId="77777777" w:rsidR="00472341" w:rsidRDefault="00000000">
            <w:pPr>
              <w:spacing w:after="0"/>
            </w:pPr>
            <w:r>
              <w:rPr>
                <w:color w:val="000000"/>
                <w:sz w:val="15"/>
              </w:rPr>
              <w:t>Do not silently skip controlled-spend approval when no approver resolves. Make templates tenant and branch aware.</w:t>
            </w:r>
          </w:p>
        </w:tc>
        <w:tc>
          <w:tcPr>
            <w:tcW w:w="1325" w:type="dxa"/>
            <w:shd w:val="clear" w:color="auto" w:fill="FBF1D7"/>
            <w:tcMar>
              <w:top w:w="70" w:type="dxa"/>
              <w:left w:w="90" w:type="dxa"/>
              <w:bottom w:w="70" w:type="dxa"/>
              <w:right w:w="90" w:type="dxa"/>
            </w:tcMar>
            <w:vAlign w:val="center"/>
          </w:tcPr>
          <w:p w14:paraId="791A0B08" w14:textId="77777777" w:rsidR="00472341" w:rsidRDefault="00000000">
            <w:pPr>
              <w:spacing w:after="0"/>
              <w:jc w:val="center"/>
            </w:pPr>
            <w:r>
              <w:rPr>
                <w:color w:val="000000"/>
                <w:sz w:val="15"/>
              </w:rPr>
              <w:t>M7, M22, M23</w:t>
            </w:r>
          </w:p>
        </w:tc>
      </w:tr>
      <w:tr w:rsidR="00472341" w14:paraId="2CD45CE2" w14:textId="77777777">
        <w:trPr>
          <w:cantSplit/>
          <w:jc w:val="center"/>
        </w:trPr>
        <w:tc>
          <w:tcPr>
            <w:tcW w:w="605" w:type="dxa"/>
            <w:shd w:val="clear" w:color="auto" w:fill="FFFFFF"/>
            <w:tcMar>
              <w:top w:w="70" w:type="dxa"/>
              <w:left w:w="90" w:type="dxa"/>
              <w:bottom w:w="70" w:type="dxa"/>
              <w:right w:w="90" w:type="dxa"/>
            </w:tcMar>
            <w:vAlign w:val="center"/>
          </w:tcPr>
          <w:p w14:paraId="0C329264"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0B26CBA4" w14:textId="77777777" w:rsidR="00472341" w:rsidRDefault="00000000">
            <w:pPr>
              <w:spacing w:after="0"/>
            </w:pPr>
            <w:r>
              <w:rPr>
                <w:b/>
                <w:color w:val="2E5495"/>
                <w:sz w:val="15"/>
              </w:rPr>
              <w:t>Failed webhook operations</w:t>
            </w:r>
          </w:p>
        </w:tc>
        <w:tc>
          <w:tcPr>
            <w:tcW w:w="6091" w:type="dxa"/>
            <w:shd w:val="clear" w:color="auto" w:fill="FFFFFF"/>
            <w:tcMar>
              <w:top w:w="70" w:type="dxa"/>
              <w:left w:w="90" w:type="dxa"/>
              <w:bottom w:w="70" w:type="dxa"/>
              <w:right w:w="90" w:type="dxa"/>
            </w:tcMar>
            <w:vAlign w:val="center"/>
          </w:tcPr>
          <w:p w14:paraId="6A5F06BA" w14:textId="77777777" w:rsidR="00472341" w:rsidRDefault="00000000">
            <w:pPr>
              <w:spacing w:after="0"/>
            </w:pPr>
            <w:r>
              <w:rPr>
                <w:color w:val="000000"/>
                <w:sz w:val="15"/>
              </w:rPr>
              <w:t>Add alerting for failed payment webhooks. The failed-event queue, replay action, operator audit, and platform view for unattributable events are complete.</w:t>
            </w:r>
          </w:p>
        </w:tc>
        <w:tc>
          <w:tcPr>
            <w:tcW w:w="1325" w:type="dxa"/>
            <w:shd w:val="clear" w:color="auto" w:fill="FFFFFF"/>
            <w:tcMar>
              <w:top w:w="70" w:type="dxa"/>
              <w:left w:w="90" w:type="dxa"/>
              <w:bottom w:w="70" w:type="dxa"/>
              <w:right w:w="90" w:type="dxa"/>
            </w:tcMar>
            <w:vAlign w:val="center"/>
          </w:tcPr>
          <w:p w14:paraId="5A91F798" w14:textId="77777777" w:rsidR="00472341" w:rsidRDefault="00000000">
            <w:pPr>
              <w:spacing w:after="0"/>
              <w:jc w:val="center"/>
            </w:pPr>
            <w:r>
              <w:rPr>
                <w:color w:val="000000"/>
                <w:sz w:val="15"/>
              </w:rPr>
              <w:t>M18, M30</w:t>
            </w:r>
          </w:p>
        </w:tc>
      </w:tr>
      <w:tr w:rsidR="00472341" w14:paraId="643C1D0E" w14:textId="77777777">
        <w:trPr>
          <w:cantSplit/>
          <w:jc w:val="center"/>
        </w:trPr>
        <w:tc>
          <w:tcPr>
            <w:tcW w:w="605" w:type="dxa"/>
            <w:shd w:val="clear" w:color="auto" w:fill="FFFFFF"/>
            <w:tcMar>
              <w:top w:w="70" w:type="dxa"/>
              <w:left w:w="90" w:type="dxa"/>
              <w:bottom w:w="70" w:type="dxa"/>
              <w:right w:w="90" w:type="dxa"/>
            </w:tcMar>
            <w:vAlign w:val="center"/>
          </w:tcPr>
          <w:p w14:paraId="290B7769"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37F0C9CB" w14:textId="77777777" w:rsidR="00472341" w:rsidRDefault="00000000">
            <w:pPr>
              <w:spacing w:after="0"/>
            </w:pPr>
            <w:r>
              <w:rPr>
                <w:b/>
                <w:color w:val="2E5495"/>
                <w:sz w:val="15"/>
              </w:rPr>
              <w:t>Vendor prepayments</w:t>
            </w:r>
          </w:p>
        </w:tc>
        <w:tc>
          <w:tcPr>
            <w:tcW w:w="6091" w:type="dxa"/>
            <w:shd w:val="clear" w:color="auto" w:fill="FFFFFF"/>
            <w:tcMar>
              <w:top w:w="70" w:type="dxa"/>
              <w:left w:w="90" w:type="dxa"/>
              <w:bottom w:w="70" w:type="dxa"/>
              <w:right w:w="90" w:type="dxa"/>
            </w:tcMar>
            <w:vAlign w:val="center"/>
          </w:tcPr>
          <w:p w14:paraId="2B7A31A3" w14:textId="77777777" w:rsidR="00472341" w:rsidRDefault="00000000">
            <w:pPr>
              <w:spacing w:after="0"/>
            </w:pPr>
            <w:r>
              <w:rPr>
                <w:color w:val="000000"/>
                <w:sz w:val="15"/>
              </w:rPr>
              <w:t>Expose a drawdown endpoint for vendor advances. Posting, clearing, dated allocation, and reversal across vendor, AP, payment, and ledger records are complete.</w:t>
            </w:r>
          </w:p>
        </w:tc>
        <w:tc>
          <w:tcPr>
            <w:tcW w:w="1325" w:type="dxa"/>
            <w:shd w:val="clear" w:color="auto" w:fill="FFFFFF"/>
            <w:tcMar>
              <w:top w:w="70" w:type="dxa"/>
              <w:left w:w="90" w:type="dxa"/>
              <w:bottom w:w="70" w:type="dxa"/>
              <w:right w:w="90" w:type="dxa"/>
            </w:tcMar>
            <w:vAlign w:val="center"/>
          </w:tcPr>
          <w:p w14:paraId="09CEF93C" w14:textId="77777777" w:rsidR="00472341" w:rsidRDefault="00000000">
            <w:pPr>
              <w:spacing w:after="0"/>
              <w:jc w:val="center"/>
            </w:pPr>
            <w:r>
              <w:rPr>
                <w:color w:val="000000"/>
                <w:sz w:val="15"/>
              </w:rPr>
              <w:t>M18, M19, M21, M23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and seed finance, procurement, and payout workflow templates per school.</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FFFFF"/>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FFFFF"/>
            <w:tcMar>
              <w:top w:w="70" w:type="dxa"/>
              <w:left w:w="90" w:type="dxa"/>
              <w:bottom w:w="70" w:type="dxa"/>
              <w:right w:w="90" w:type="dxa"/>
            </w:tcMar>
            <w:vAlign w:val="center"/>
          </w:tcPr>
          <w:p w14:paraId="3A23E735" w14:textId="77777777" w:rsidR="00472341" w:rsidRDefault="00000000">
            <w:pPr>
              <w:spacing w:after="0"/>
            </w:pPr>
            <w:r>
              <w:rPr>
                <w:color w:val="000000"/>
                <w:sz w:val="15"/>
              </w:rPr>
              <w:t>Scope documents, approvals, stock locations, and reporting to the correct branch where required.</w:t>
            </w:r>
          </w:p>
        </w:tc>
        <w:tc>
          <w:tcPr>
            <w:tcW w:w="1325" w:type="dxa"/>
            <w:shd w:val="clear" w:color="auto" w:fill="FFFFFF"/>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2F5FA"/>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2F5FA"/>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2F5FA"/>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v2.5.1 Documentation Delta</w:t>
      </w:r>
    </w:p>
    <w:p w14:paraId="4C4A5E5A" w14:textId="77777777" w:rsidR="00472341" w:rsidRDefault="00000000">
      <w:pPr>
        <w:spacing w:after="100" w:line="240" w:lineRule="auto" w:before="0"/>
      </w:pPr>
      <w:r>
        <w:rPr>
          <w:rFonts w:ascii="Aptos Narrow" w:hAnsi="Aptos Narrow"/>
          <w:b w:val="0"/>
          <w:color w:val="000000"/>
          <w:sz w:val="18"/>
        </w:rPr>
        <w:t>This patch changes documentation terminology, organization, metadata, and layout only. It does not change module statuses, capability counts, priority gaps, or the recommended build order established in v2.5.</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671"/>
        <w:gridCol w:w="1728"/>
        <w:gridCol w:w="5068"/>
      </w:tblGrid>
      <w:tr w:rsidR="00472341" w14:paraId="1C466A26" w14:textId="77777777">
        <w:trPr>
          <w:tblHeader/>
          <w:jc w:val="center"/>
          <w:tblHeader w:val="true"/>
        </w:trPr>
        <w:tc>
          <w:tcPr>
            <w:tcW w:w="3672"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5C12739E" w14:textId="77777777" w:rsidR="00472341" w:rsidRDefault="00000000">
            <w:pPr>
              <w:spacing w:after="0" w:before="0" w:line="240" w:lineRule="auto"/>
              <w:jc w:val="left"/>
            </w:pPr>
            <w:r>
              <w:rPr>
                <w:rFonts w:ascii="Aptos Narrow" w:hAnsi="Aptos Narrow"/>
                <w:b/>
                <w:color w:val="FFFFFF"/>
                <w:sz w:val="17"/>
              </w:rPr>
              <w:t>v2.5.1 documentation delta</w:t>
            </w:r>
          </w:p>
        </w:tc>
        <w:tc>
          <w:tcPr>
            <w:tcW w:w="172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4AEA54D5" w14:textId="77777777" w:rsidR="00472341" w:rsidRDefault="00000000">
            <w:pPr>
              <w:spacing w:after="0" w:before="0" w:line="240" w:lineRule="auto"/>
              <w:jc w:val="left"/>
            </w:pPr>
            <w:r>
              <w:rPr>
                <w:rFonts w:ascii="Aptos Narrow" w:hAnsi="Aptos Narrow"/>
                <w:b/>
                <w:color w:val="FFFFFF"/>
                <w:sz w:val="17"/>
              </w:rPr>
              <w:t>Decision</w:t>
            </w:r>
          </w:p>
        </w:tc>
        <w:tc>
          <w:tcPr>
            <w:tcW w:w="5069"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1AC54074" w14:textId="77777777" w:rsidR="00472341" w:rsidRDefault="00000000">
            <w:pPr>
              <w:spacing w:after="0" w:before="0" w:line="240" w:lineRule="auto"/>
              <w:jc w:val="left"/>
            </w:pPr>
            <w:r>
              <w:rPr>
                <w:rFonts w:ascii="Aptos Narrow" w:hAnsi="Aptos Narrow"/>
                <w:b/>
                <w:color w:val="FFFFFF"/>
                <w:sz w:val="17"/>
              </w:rPr>
              <w:t>Evidence</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 family terminology</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cross-module tracker is now the Module Requirements Document (MRD); detailed module documents remain Functional Requirements Documents (FRDs).</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Requirements folder structure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Separated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MRD versions and module-level FRD versions are stored in distinct document families while historical files remain preserved.</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Metadata and headers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Cover, document control, core properties, odd and even headers, version labels, and source baseline now agree.</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Change-log layout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Repaired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table is constrained to the A4 content width and no longer clips outside the page.</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tcMar>
            <w:vAlign w:val="center"/>
          </w:tcPr>
          <w:p w14:paraId="75F555DE" w14:textId="77777777" w:rsidR="00472341" w:rsidRDefault="00000000">
            <w:pPr>
              <w:spacing w:after="0"/>
            </w:pPr>
            <w:r>
              <w:rPr>
                <w:color w:val="000000"/>
                <w:sz w:val="17"/>
              </w:rPr>
              <w:t>Fix branch transitions, add safe school lifecycle controls, require privileged MFA, and make procurement approval fail closed.</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Add failed-webhook alerting and expose vendor-advance drawdown, then validate payout approvals. Historical receivables, the failed-webhook queue and replay, virtual-account deposits, and vendor-advance posting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and seed tenant-specific workflow templates and defaults.</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v2.5.1</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v2.5.1</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2.5.1</cp:version>
</cp:coreProperties>
</file>