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2.30</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2.30</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25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Backend main at 8af6d9d plus model-aware import rollback, its background path and contact cleanup (25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450</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8"/>
              </w:rPr>
              <w:t>5. v2.30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Model-aware rollback, refusal rules, honest reporting, and the background path</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p w14:paraId="7F9E4181" w14:textId="77777777" w:rsidR="00472341" w:rsidRDefault="00000000">
            <w:pPr>
              <w:spacing w:after="20"/>
              <w:ind w:left="86" w:hanging="86"/>
            </w:pPr>
            <w:r>
              <w:rPr>
                <w:sz w:val="16"/>
              </w:rPr>
              <w:t>• Branch reach follows the role grant. A grant made for the whole tenant reaches every branch, a grant pinned to branches reaches those while they are in service, and the branch on a staff record is a home posting that decides only for somebody who holds no grants at all. The same answer serves the permission gate and the row filter, so the two cannot disagree about one person.</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11</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21</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15</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t>15</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t>Authentication, invitations, account security, sessions, platform staff, and organization-position structures. Invitation and password-reset links are request-bound. Account creation now applies the same restricted-role grant ceiling as the dedicated assignment endpoints, so creating a colleague cannot be used as a quieter route to hand out authority the creator does not hold.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expiry, and token rotation</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Tenant and role-grant boundaries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 Platform-only scope is enforced independently from restricted sensitivity. Restricted keys cannot enter direct role writes, groups, or ALLOW overrides; they enter a custom role only through a change request decided by a different reviewer who already holds every restricted key being granted. Branch reach remains grant-derived, and one person may hold the same role at more than one branch.</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p w14:paraId="27F916CD" w14:textId="77777777" w:rsidR="00472341" w:rsidRDefault="00000000">
            <w:pPr>
              <w:spacing w:after="20"/>
              <w:ind w:left="86" w:hanging="86"/>
            </w:pPr>
            <w:r>
              <w:rPr>
                <w:sz w:val="16"/>
              </w:rPr>
              <w:t>• Two role-grant escalations are closed at their source. Scope refuses a tenant carrying a platform-only key. Separately, a restricted key is refused on direct role writes, in permission groups, and as an ALLOW override; it may enter a custom role only through a change request decided by somebody other than the requester, and that reviewer may grant only restricted keys they already hold. Existing unverified restricted grants are removed from custom roles by migration, while trusted seeded system roles remain as the approval bootstrap.</w:t>
            </w:r>
          </w:p>
          <w:p w14:paraId="27F916CD" w14:textId="77777777" w:rsidR="00472341" w:rsidRDefault="00000000">
            <w:pPr>
              <w:spacing w:after="20"/>
              <w:ind w:left="86" w:hanging="86"/>
            </w:pPr>
            <w:r>
              <w:rPr>
                <w:sz w:val="16"/>
              </w:rPr>
              <w:t>• A role granted for the whole school now reaches the whole school. The branch narrowing and the permission gate are resolved from the same grants, so a Finance Officer for the whole school is no longer narrowed to the one site her staff record happens to name while the gate lets her act at the others. Writes follow reads: what she raises without naming a branch is filed school-wide.</w:t>
            </w:r>
          </w:p>
          <w:p w14:paraId="27F916CD" w14:textId="77777777" w:rsidR="00472341" w:rsidRDefault="00000000">
            <w:pPr>
              <w:spacing w:after="20"/>
              <w:ind w:left="86" w:hanging="86"/>
            </w:pPr>
            <w:r>
              <w:rPr>
                <w:sz w:val="16"/>
              </w:rPr>
              <w:t>• The same role may now be granted at two branches. The schema always allowed it and both write paths refused it, so a teacher working at two sites could hold the role at one. Every count that reads assignments counts people rather than grant rows.</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p w14:paraId="35220B93" w14:textId="77777777" w:rsidR="00472341" w:rsidRDefault="00000000">
            <w:pPr>
              <w:spacing w:after="20"/>
              <w:ind w:left="86" w:hanging="86"/>
            </w:pPr>
            <w:r>
              <w:rPr>
                <w:sz w:val="16"/>
              </w:rPr>
              <w:t>• Branch scope resolution now answers for writes as well as reads. A named ?branch= is checked against the caller's own grants at the one lookup every configuration view passes through, so a configuration administrator pinned to one site can no longer set another site's values, and a holder of a school-wide configuration role may set them at every branch.</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t>Event-driven in-app and email delivery. One-time invitation and reset credentials are replaced only in the delivery worker, so notification records retain a marker rather than the raw secret.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Secret-safe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Background rollback execution</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notifications</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audit events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dataset a school may import for itself exists yet. Students, staff and parents have no template and no model, so the school-facing import screen shows an empty table. The onboarding checklist step it serves is optional, so readiness and go-live are not blocked.</w:t>
            </w:r>
          </w:p>
          <w:p w14:paraId="38D7D122" w14:textId="77777777" w:rsidR="00472341" w:rsidRDefault="00000000">
            <w:pPr>
              <w:spacing w:after="20"/>
              <w:ind w:left="86" w:hanging="86"/>
            </w:pPr>
            <w:r>
              <w:rPr>
                <w:sz w:val="16"/>
              </w:rPr>
              <w:t>• Import notifications are the module's own rows and are not dispatched through Module 8. There is no email, no bell entry and no delivery record, and the feed requires a platform key, so the school administrator who started an import cannot read the notice about it.</w:t>
            </w:r>
          </w:p>
          <w:p w14:paraId="38D7D122" w14:textId="77777777" w:rsidR="00472341" w:rsidRDefault="00000000">
            <w:pPr>
              <w:spacing w:after="20"/>
              <w:ind w:left="86" w:hanging="86"/>
            </w:pPr>
            <w:r>
              <w:rPr>
                <w:sz w:val="16"/>
              </w:rPr>
              <w:t>• A run cannot be stopped once it has started. Cancellation covers only the statuses before execution and the row loop checks nothing, so a long import of a wrong file must finish and then be rolled back.</w:t>
            </w:r>
          </w:p>
          <w:p w14:paraId="38D7D122" w14:textId="77777777" w:rsidR="00472341" w:rsidRDefault="00000000">
            <w:pPr>
              <w:spacing w:after="20"/>
              <w:ind w:left="86" w:hanging="86"/>
            </w:pPr>
            <w:r>
              <w:rPr>
                <w:sz w:val="16"/>
              </w:rPr>
              <w:t>• Execution reads the batch's stored preview rows with no streaming path, so the practical file size is bounded by one JSON column and one in-memory list. No limit is stated or enforced.</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Every branch-bearing ledger list, summary and detail read narrows to the caller's branches, and a document is stamped with the branch it was raised at. The trial balance, income statement and balance sheet are not narrowed: they aggregate through several relation paths and were left for their own design round.</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p w14:paraId="502C2918" w14:textId="77777777" w:rsidR="00472341" w:rsidRDefault="00000000">
            <w:pPr>
              <w:spacing w:after="20"/>
              <w:ind w:left="86" w:hanging="86"/>
            </w:pPr>
            <w:r>
              <w:rPr>
                <w:sz w:val="16"/>
              </w:rPr>
              <w:t>• A requisition raised by a holder of a school-wide role who names no branch is filed school-wide, and school-wide spend is deliberately hidden from branch-pinned staff. That is the intended reading of a purchase for the school as a whole, and it means such a requisition does not appear on the raiser's own branch queue.</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Branch scoping of the purchase chain is finished. A purchase order, goods receipt, vendor bill and vendor payment each carry the branch they were raised at or inherit it from the document they continue, every list, queue and summary narrows to the caller's branches, and a branch-bound caller can neither settle nor read another site's bill.</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privacy-safe guide-to-support context, and dimensionless how-to analytics for platform editorial review.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t>▸  Privacy-safe guide engagement and search-gap event intake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t>▸  Platform guide-editor aggregates, scoped ingestion limits, and 180-day retention</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 narrowing on the financial statements</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Procurement, stock and the finance ledgers now narrow to the caller's branches, and documents are stamped with the branch they were raised at. The trial balance, income statement and balance sheet were deliberately left out because they aggregate ledger lines through several relation paths and need their own design round, so a branch-bound bursar still reads the whole entity's position. Narrow them, or record that a statement is an entity-level report by definition.</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M19, M4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v2.30 Documentation Delta</w:t>
      </w:r>
    </w:p>
    <w:p w14:paraId="4C4A5E5A" w14:textId="77777777" w:rsidR="00472341" w:rsidRDefault="00000000">
      <w:pPr>
        <w:spacing w:after="100" w:line="240" w:lineRule="auto" w:before="0"/>
      </w:pPr>
      <w:r>
        <w:t>This revision corrects what a rollback deletes. An import row records the model it created and that model's primary key, and reversal read only the key, treating every one of them as a School id. Branch, user and school ids are three independent sequences running through the same integers, so rolling back Greenfield's four-row branches import left its campuses in place and deleted the schools that happened to hold ids 9 to 12, then reported four rows reverted. Reversal is now dispatched on the recorded model, refuses a model it does not know and a row that created nothing, re-checks the natural key before deleting, refuses to unwind a school whose tenant has been used, reports per row rather than as a count, and moves off the request once a rollback is large enough to be slow. Module 10 gains one capability, its clean bill is replaced by four needs-attention items, and no module state, ownership, priority gap or build order changed.</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v2.30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Rollback deleted by primary key alone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Reversal is dispatched on the row's target model through an explicit registry. School, branch and user ids are separate sequences through the same integers, so a branches rollback deleted whichever schools shared those numbers and reported success.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 id was treated as an identity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Bound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Each reverser locks its target and re-checks the natural key the row recorded, the school's slug, the branch's name or the user's email, against the record the id resolves to.</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unknown model fell through to deleting schools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Fails closed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target model with no registered reverser is refused, as is a row whose action was not a creation, so a dataset added later cannot inherit the school reverser by accident.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school rollback could destroy live data</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Refused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tenant is compared against an allowlist of exactly what school creation writes. A second branch, an academic session, a ticket, an export or any account that has signed in refuses the teardown and names what stopped it.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rollback reported success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Reported honestly</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Rows return reverted, refused, failed or skipped with reasons; the record and the endpoint carry per-row outcomes; anything short of a full reversal leaves the job partially rolled back and is retryable.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large rollback held the request open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Queued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Past fifty reversible rows the rollback runs as a tracked background job and the result is read from the rollback history. Smaller ones stay in the request, where the per-row outcomes are the answer.</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and stock to the academic foundation. Branch scoping of procurement and the finance ledgers is done; what is left there is the financial statements.</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 import rollback and gave it a background path. Reversal read the recorded primary key and assumed every one of them named a School: branch, user and school ids are three independent sequences through the same integers, so rolling back a four-row branches import left the branches in place, deleted whichever schools held ids 9 to 12, and stamped the job rolled back successfully. Reversal is now dispatched on the row's target model through a registry that refuses an unregistered model and refuses a row that only updated a record; each reverser locks its target and re-checks the slug, branch name or email the row recorded before deleting anything; and branch ownership is checked against the school the row named rather than the batch's tenant, which is always CodeX for these datasets. A school rollback now removes the tenant, and refuses the moment that tenant holds anything school creation did not write, including any account that has ever signed in. Rollbacks report per row rather than as a count: anything short of a full reversal leaves the job partially rolled back, names the rows it could not reverse, and can be retried once the blocker is cleared. Past fifty reversible rows the work moves to a tracked background job, which also fixes a latent break in that task, and admin contact cards left pointing at nothing are swept with the record. Module 10 gains one capability and the document moves from 449 to 450 entries. Module 10 stays Backend Complete and Integration Complete, and its clean bill is replaced by four needs-attention items found while writing its first FRD, none of them a new defect: no dataset a school may import for itself, import notices that never reach Module 8, a run that cannot be stopped once started, and an unbounded file size. No priority gap or build order changed. Module 10 gains its first FRD at v1.0.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restricted-permission self-grant path. Ordinary role changes remain direct, but restricted additions now require TenantRoleChangeRequest, the separate school.roles.approve or platform.roles.approve key, a reviewer other than the requester, and a ceiling that permits only restricted keys the reviewer already holds. Direct role writes, permission groups and ALLOW overrides cannot introduce restricted keys; assignment, replacement, account creation and draft submission enforce the same ceiling. Migration 0009 removes unverified restricted grants from custom roles, groups and ALLOW overrides while preserving seeded system-role bootstrap grants. Module 4 remains Complete and Module 3 remains Partial on MFA and tenant lifecycle. The document stays at 449 capabilities, with priorities and build order unchanged. Reconciled to RBAC FRD v1.3 and Identity FRD v1.4.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old password-reset link revival defect. Invitations and resets now issue separate token families, store only keyed SHA-256 digests on their owning rows, resolve preview and confirmation to that exact row, and consume under a row lock. A newer request or invitation resend kills the older URL, and a token cannot cross from invitation to reset. Notification history stores a marker rather than a live credential; the raw value is substituted only inside the delivery worker immediately before SMTP. The migration preserves existing invitation links and consumes legacy reset rows that could not be bound safely. Module 3 remains Backend Partial and Integration Partial on MFA and tenant lifecycle; Module 8 remains Complete. Capability counts, priorities, and build order are unchanged at 449 entries. Reconciled to Identity FRD v1.3 and Notifications FRD v1.2.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31's privacy-safe how-to editorial loop. Active users can emit only closed guide and walkthrough event shapes; no-result search text is reduced before storage; raw events carry no tenant, actor, record, or arbitrary metadata dimension; aggregate summaries require platform.health.view and never return raw rows or a tenant split; and events expire after 180 days. Added a 120-per-minute authenticated-user throttle to ingestion so a faulty client or deliberate script cannot flood the table or dominate counts. Module 31 gains two capabilities and the document moves from 447 to 449 entries. No module state, ownership, priority gap, or build order changed. Reconciled to Support FRD v1.2.</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Records the sweep of the School &amp; Branch Management defect report of 13 August. Eleven items were re-checked against the current code and seven were already closed, including both blockers - a phantom school field used to write and read module entitlements, which raised on every school created with a package and on every subsequent read of one, and a leftover debug handler that turned an unknown school slug into a 500 - and two items that described FRD text no longer present. Four were still open, and all four were rules Module 1 documented and did not keep. A package plan's branch ceiling was stored, seeded and shown on the plans screen while no creation path read it. A configuration reset accepted any non-empty confirmation token, so an operator could delete the wrong school's branding with nothing in the request naming the school. An administrator named at two branches in one request was granted at one of them. And an update validated the whole row after a partial change, so a column left blank by another path refused an unrelated edit - permanently, on the school endpoint, because the field in question is not writable there. All four are closed and covered by tests. No module status, integration state, capability entry, capability count, ownership, dependency or priority gap moves: Module 1 stays Backend Partial and Integration Partial on school lifecycle control, which none of this touches, and its two Needs Attention items - the commercial lifecycle and closed-branch access rules - stand exactly as v2.25 issued them. The reset and admin-provisioning fixes each close half of a Module 1 gap and the surviving halves are named rather than implied, in FRD M01 v1.13. Minor rather than patch, because documented limitations were withdrawn on evidence. Section 5 is replaced rather than carried forward. Reconciled to FRD M01 v1.13.</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a role granted for the whole school mean the whole school, and let the same role be held at two branches. The branch narrowing returned one answer for a whole-tenant grant and for no grants at all, so both fell through to the branch on the holder's staff record. A Finance Officer for the whole school whose record named Ikeja saw Ikeja; a colleague holding the identical grant with a blank record saw every branch. The permission gate never agreed with either reading - it has always matched a whole-tenant grant against any named branch and has never read that column - so she was permitted to approve documents her own lists refused to show her. There are now three outcomes rather than two, with 'no grants' carrying a value of its own. Writes widen with reads and that is the decision, not a side effect: a school-wide holder who names no branch files school-wide, procurement deliberately hides school-wide spend from branch-pinned staff, and she gains configuration write access at every branch, all of which follow from the grant deciding rather than from whether an unrelated field was filled in. Separately, the same role can now be granted at two branches. The schema has always allowed it through two split partial unique constraints and both write paths refused it, so somebody teaching at two sites could hold the role at one; the rule now lives once beside the constraints and both paths ask it, and the refusal names the branch. Four counts that read grant rows as people are corrected with it, the worst of them silent: the workflow role-coverage report warns where only one person holds an approving role, because that person cannot approve their own request, and a sole holder at two branches read as two so the warning stopped firing. The P1 branch-scoping gap against Modules 22 to 24 is resolved - purchase documents carry the branch they were raised at, every list, queue and summary narrows, and stock is held per location - and is replaced by a P2 against the financial statements, which were deliberately left unnarrowed. Modules 4, 6, 19, 22 and 23 have their notes restated; no module backend or integration state, ownership or capability count changed, and the document stays at 31 modules and 447 capability entries. Module 4's FRD advances to v1.2, Module 1's to v1.12, Module 3's to v1.2, Module 7's to v1.3, Module 22's to v1.2, Module 23's to v1.4 and Module 31's to v1.1 in step. This is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v2.30</dc:title>
  <dc:subject>31-module code-aligned capability tracker</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2.28</cp:version>
</cp:coreProperties>
</file>