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1.9</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1.9</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Commit 3b56058, the account-link fix traced for this revision (4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v2.62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now resolves its target through the same tenant and branch scope as the account viewset, and an out-of-scope id receives the same 404 as a missing one. The identity audit endpoint also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Within the platform tenant, the unauthenticated barcode preview remains a name-and-existence oracle by design and is limited only by its throttle.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expire_stale_login_sessions runs only when somebody opens a session list, so an expired token can leave a row reading active until then. Access tokens already issued remain valid until they expire. Administrative force-logout targets are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Routes are mounted under /v1/user/. List routes paginate and return the shared success envelope, which returns an empty list as an empty list and coerces only a missing payload to an empty object.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tenant and branch narrowed.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The current vs_user suite contains 342 tests and passed in full. The focused password-reset dispatch tests also passed, alongside the 119-test Module 8 suite covering SELF and ADMIN reset copy, exact expiry, tenant display across school and non-school organizations, plain-text and HTML actions, the dormant account-lock definition, one-time-secret boundaries, and staff-authored migration guards.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Cross-tenant isolation on every account action: an administrator cannot suspend, unlock, rename, force-logout, invite or reset an account outside their own tenant and branch reach. Covered by AccountActionScopeMatrixTests.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20"/>
      </w:pPr>
      <w:r>
        <w:t>MRD v2.61 records Module 3 as Identity, Team &amp; Organogram, Phase V1, Backend Partial, In use Complete, code ownership vs_user, with seventeen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Sixteen actions reach the shared tenant-scoped trail behind platform.audit.view;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v2.62 lists Module 3 as Backend Partial and In use Complete with seventeen capabilities, and this revision changes none of them. Where an invitation or reset link points is how an existing capability is delivered, not a new one, so the MRD entry is unchanged by it. Module 3's entry is identical in v2.61 and v2.62; the source reference is advanced only to name the current document.</w:t>
              <w:br/>
              <w:t>• Partial remains correct because privileged MFA and the tenant lifecycle identity effect are still absent. The configured lock window also remains permanent in effect, and account lockout dispatches no notification.</w:t>
              <w:br/>
              <w:t>• Password-reset context, exact expiry, plain-text and HTML parity, one-time secret boundaries, dormant lock-event status and migration behavior agree across Identity FRD v1.9 and Notifications FRD v1.7.</w:t>
              <w:br/>
              <w:t>• Backend evidence only. Neither document claims frontend delivery, deployment, production adoption, or data migration completion.</w:t>
            </w:r>
          </w:p>
          <w:p>
            <w:pPr>
              <w:keepNext/>
              <w:spacing w:after="0" w:before="0" w:line="240" w:lineRule="auto"/>
              <w:jc w:val="left"/>
            </w:pPr>
            <w:r>
              <w:rPr>
                <w:rFonts w:ascii="Aptos Narrow" w:hAnsi="Aptos Narrow"/>
                <w:b w:val="0"/>
                <w:color w:val="000000"/>
                <w:sz w:val="16"/>
              </w:rPr>
            </w:r>
          </w:p>
          <w:p>
            <w:pPr>
              <w:keepNext/>
              <w:spacing w:after="0" w:before="0" w:line="240" w:lineRule="auto"/>
              <w:jc w:val="left"/>
            </w:pPr>
            <w:r>
              <w:rPr>
                <w:rFonts w:ascii="Aptos Narrow" w:hAnsi="Aptos Narrow"/>
                <w:b w:val="0"/>
                <w:color w:val="000000"/>
                <w:sz w:val="16"/>
              </w:rPr>
            </w:r>
          </w:p>
          <w:p>
            <w:pPr>
              <w:keepNext/>
              <w:spacing w:after="0" w:before="0" w:line="240" w:lineRule="auto"/>
              <w:jc w:val="left"/>
            </w:pPr>
            <w:r>
              <w:rPr>
                <w:rFonts w:ascii="Aptos Narrow" w:hAnsi="Aptos Narrow"/>
                <w:b w:val="0"/>
                <w:color w:val="000000"/>
                <w:sz w:val="16"/>
              </w:rPr>
            </w:r>
          </w:p>
          <w:p>
            <w:pPr>
              <w:keepNext/>
              <w:spacing w:after="0" w:before="0" w:line="240" w:lineRule="auto"/>
              <w:jc w:val="left"/>
            </w:pPr>
            <w:r>
              <w:rPr>
                <w:rFonts w:ascii="Aptos Narrow" w:hAnsi="Aptos Narrow"/>
                <w:b w:val="0"/>
                <w:color w:val="000000"/>
                <w:sz w:val="16"/>
              </w:rPr>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Identity, Team and Organogram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Team and Organogram Functional Requirements Document v1.3</dc:title>
  <cp:lastModifiedBy>Chidera Ohiaekpete</cp:lastModifiedBy>
  <cp:revision>1</cp:revision>
  <cp:lastPrinted>2026-07-17T18:03:00Z</cp:lastPrinted>
  <dcterms:created xsi:type="dcterms:W3CDTF">2026-07-17T18:03:00Z</dcterms:created>
  <dcterms:modified xsi:type="dcterms:W3CDTF">2026-08-19T12:00:00Z</dcterms:modified>
  <cp:version>1.3</cp:version>
</cp:coreProperties>
</file>