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refreshing the shared Module 8 HTML email design. Standard templates now use a polished, email-client-safe card, resolve issuer, entity, or tenant branding at render time, and present headings, details, actions, and the footer with clearer hierarchy. Migration 0012 regenerates only platform-maintained HTML; staff-authored markup remains unchanged.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v2.58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Tenant-aware branding and a refreshed standard email design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Standard email templates resolve issuer, entity, or tenant branding at render time and use one polished, email-client-safe layout; a migration refreshes existing platform-maintained markup while preserving every staff-authored override.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v2.58 Capability Delta</w:t>
      </w:r>
    </w:p>
    <w:p w14:paraId="4C4A5E5A" w14:textId="77777777" w:rsidR="00472341" w:rsidRDefault="00000000">
      <w:pPr>
        <w:spacing w:after="100" w:line="240" w:lineRule="auto" w:before="0"/>
      </w:pPr>
      <w:r>
        <w:rPr>
          <w:rFonts w:ascii="Aptos Narrow" w:hAnsi="Aptos Narrow"/>
          <w:b w:val="0"/>
          <w:color w:val="000000"/>
          <w:sz w:val="18"/>
        </w:rPr>
        <w:t>This revision improves one existing Module 8 capability rather than adding a new one. All standard email templates now inherit a clearer shared design and the sender name resolved from the issuer, entity, or tenant. Existing standard rows are refreshed by migration, while a template that staff deliberately customized keeps its own HTML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v2.58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Shared email design and tenant-aware branding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 standard templates without overwriting staff-authored HTML</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compose_email_html now produces the 640px notification card, structured detail panel, clearer call to action, fallback link, and delivery footer using table-based inline styling. Standard stored HTML carries an email_brand placeholder resolved from issuer, entity, or tenant context with CodeX Vision as fallback. Migration 0012 bulk-refreshes email rows only where html_is_custom is false. The complete 110-test Module 8 suite passed.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