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2.48</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2.48</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30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worktree making required school and branch administrator provisioning fail closed and atomic. The complete schools.vs_schools suite passed 308 tests in 1776.659 seconds on 30 August 2026. Backend evidence only; nothing here is deployed.</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468</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v2.48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Required administrators now share the creation transaction</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fal, vs_admin_console, vs_user, vs_rbac, vs_audit, vs_config, vs_notifications, vs_import_data, vs_workflow, vs_finance, vs_procurement, vs_payments, vs_exports, vs_todo, vs_tickets, and vs_health. The schools product carries vs_schools, vs_onboarding, vs_academics, vs_calendar and the finance abstraction layer under apps/schools/; the layer is mounted as the app fal because it owns one table, and it carries no URLs.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16</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21</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25</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22</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so a failed account, role grant, or invitation record leaves no ready-looking parent record.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asks to be activated and is activated by platform staff; a school that abandons the process is warned, expires, and can be put back by hand. Module 1 now refuses the creation transaction when its required administrator cannot be provisioned, while onboarding still verifies that the account is active and the school administrator role grants authority before go-live.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The academic half of this is now built and the student half is not. A fee structure can be tied to a real session and term, and a cohort can be billed from a list of students, both through the finance abstraction layer. A term that fee structures still bill cannot be deleted. What remains is the student side: there is no student or guardian model, so a child's billing record must still be created with a name supplied by the caller, and class-based billing waits on Module 11.</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Integration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Integration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school-facing billing. The finance side of that wait is now shorter: the finance abstraction layer gives these modules a typed contract over billing, payments and procurement, so they no longer need the finance schema. Academic structure and the calendar are built; students and staff are not, and the parent portal's ownership check has nothing to consult until they are.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v2.48 Capability Delta</w:t>
      </w:r>
    </w:p>
    <w:p w14:paraId="4C4A5E5A" w14:textId="77777777" w:rsidR="00472341" w:rsidRDefault="00000000">
      <w:pPr>
        <w:spacing w:after="100" w:line="240" w:lineRule="auto" w:before="0"/>
      </w:pPr>
      <w:r>
        <w:rPr>
          <w:rFonts w:ascii="Aptos Narrow" w:hAnsi="Aptos Narrow"/>
          <w:b w:val="0"/>
          <w:color w:val="000000"/>
          <w:sz w:val="18"/>
        </w:rPr>
        <w:t>This revision closes the partial-success path in school and standalone branch creation. A 201 response now means the required administrator account, scoped role assignment, and invitation record were created; any provisioning failure rolls the whole parent transaction back and returns a typed 503 response.</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v2.48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administrator</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account, tenant or branch role assignment, invitation record, admin link, and parent school or branch commit together or not at all.</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Provisioning failure response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Fail closed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typed ADMIN_PROVISIONING_FAILED error answers 503. The API does not return a ready-looking 201 or leave a school, tenant, branch, contact, user, or earlier nested administrator behind.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Administrator role templates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Migration-backed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Fresh school installations get school_admin and branch_admin templates idempotently. Existing and deliberately deactivated rows are preserved rather than silently repaired.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readiness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Defence in depth</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FIRST_ADMIN and ROLE_BASELINE still block go-live after later activation, account, assignment, or permission-set failures.</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fail closed; payout routing now has an automatic platform fallback and a release check that names any uncovered entity.</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Integration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Student Management is built, so Staff Management is now the one that gates the rest.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v2.48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v2.48</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2.48</cp:version>
</cp:coreProperties>
</file>