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2.75</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2.75</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9 September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Module 31's escalation boundary recorded, ticket ownership narrowed to the platform desk, and tickets.ticket.assign reclassified platform-scoped (9 September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493</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v2.75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Module 31's escalation boundary and who names an owner</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50262E0" w14:textId="77777777" w:rsidR="00472341" w:rsidRDefault="00000000">
            <w:pPr>
              <w:spacing w:after="0" w:before="0" w:line="240" w:lineRule="auto"/>
              <w:jc w:val="center"/>
            </w:pPr>
            <w:r>
              <w:rPr>
                <w:rFonts w:ascii="Aptos Narrow" w:hAnsi="Aptos Narrow"/>
                <w:b w:val="0"/>
                <w:color w:val="000000"/>
                <w:sz w:val="14"/>
              </w:rPr>
              <w:t>21</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7C8A68" w14:textId="77777777" w:rsidR="00472341" w:rsidRDefault="00000000">
            <w:pPr>
              <w:spacing w:after="0" w:before="0" w:line="240" w:lineRule="auto"/>
              <w:jc w:val="center"/>
            </w:pPr>
            <w:r>
              <w:rPr>
                <w:rFonts w:ascii="Aptos Narrow" w:hAnsi="Aptos Narrow"/>
                <w:b w:val="0"/>
                <w:color w:val="000000"/>
                <w:sz w:val="14"/>
              </w:rPr>
              <w:t>17</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E5FBCB" w14:textId="77777777" w:rsidR="00472341" w:rsidRDefault="00000000">
            <w:pPr>
              <w:spacing w:after="0" w:before="0" w:line="240" w:lineRule="auto"/>
              <w:jc w:val="center"/>
            </w:pPr>
            <w:r>
              <w:rPr>
                <w:rFonts w:ascii="Aptos Narrow" w:hAnsi="Aptos Narrow"/>
                <w:b w:val="0"/>
                <w:color w:val="000000"/>
                <w:sz w:val="14"/>
              </w:rPr>
              <w:t>21</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FFE211" w14:textId="77777777" w:rsidR="00472341" w:rsidRDefault="00000000">
            <w:pPr>
              <w:spacing w:after="0" w:before="0" w:line="240" w:lineRule="auto"/>
              <w:jc w:val="center"/>
            </w:pPr>
            <w:r>
              <w:rPr>
                <w:rFonts w:ascii="Aptos Narrow" w:hAnsi="Aptos Narrow"/>
                <w:b w:val="0"/>
                <w:color w:val="000000"/>
                <w:sz w:val="14"/>
              </w:rPr>
              <w:t>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FD1799B" w14:textId="77777777" w:rsidR="00472341" w:rsidRDefault="00000000">
            <w:pPr>
              <w:spacing w:after="0" w:before="0" w:line="240" w:lineRule="auto"/>
              <w:jc w:val="center"/>
            </w:pPr>
            <w:r>
              <w:rPr>
                <w:rFonts w:ascii="Aptos Narrow" w:hAnsi="Aptos Narrow"/>
                <w:b w:val="0"/>
                <w:color w:val="000000"/>
                <w:sz w:val="14"/>
              </w:rPr>
              <w:t>26</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8BFD5D7" w14:textId="77777777" w:rsidR="00472341" w:rsidRDefault="00000000">
            <w:pPr>
              <w:spacing w:after="0" w:before="0" w:line="240" w:lineRule="auto"/>
              <w:jc w:val="center"/>
            </w:pPr>
            <w:r>
              <w:rPr>
                <w:rFonts w:ascii="Aptos Narrow" w:hAnsi="Aptos Narrow"/>
                <w:b w:val="0"/>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CEFF3"/>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AE21702" w14:textId="77777777" w:rsidR="00472341" w:rsidRDefault="00000000">
            <w:pPr>
              <w:spacing w:after="0" w:before="0" w:line="240" w:lineRule="auto"/>
              <w:jc w:val="center"/>
            </w:pPr>
            <w:r>
              <w:rPr>
                <w:rFonts w:ascii="Aptos Narrow" w:hAnsi="Aptos Narrow"/>
                <w:b w:val="0"/>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F3AF83" w14:textId="77777777" w:rsidR="00472341" w:rsidRDefault="00000000">
            <w:pPr>
              <w:spacing w:after="0" w:before="0" w:line="240" w:lineRule="auto"/>
              <w:jc w:val="center"/>
            </w:pPr>
            <w:r>
              <w:rPr>
                <w:rFonts w:ascii="Aptos Narrow" w:hAnsi="Aptos Narrow"/>
                <w:b w:val="0"/>
                <w:color w:val="000000"/>
                <w:sz w:val="14"/>
              </w:rPr>
              <w:t>19</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2994902" w14:textId="77777777" w:rsidR="00472341" w:rsidRDefault="00000000">
            <w:pPr>
              <w:spacing w:after="0" w:before="0" w:line="240" w:lineRule="auto"/>
              <w:jc w:val="center"/>
            </w:pPr>
            <w:r>
              <w:rPr>
                <w:rFonts w:ascii="Aptos Narrow" w:hAnsi="Aptos Narrow"/>
                <w:b w:val="0"/>
                <w:color w:val="000000"/>
                <w:sz w:val="14"/>
              </w:rPr>
              <w:t>23</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0A20CBA" w14:textId="77777777" w:rsidR="00472341" w:rsidRDefault="00000000">
            <w:pPr>
              <w:spacing w:after="0" w:before="0" w:line="240" w:lineRule="auto"/>
              <w:jc w:val="center"/>
            </w:pPr>
            <w:r>
              <w:rPr>
                <w:rFonts w:ascii="Aptos Narrow" w:hAnsi="Aptos Narrow"/>
                <w:b w:val="0"/>
                <w:color w:val="000000"/>
                <w:sz w:val="14"/>
              </w:rPr>
              <w:t>23</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start w:w="90" w:type="dxa"/>
              <w:end w:w="90" w:type="dxa"/>
            </w:tcMar>
            <w:vAlign w:val="center"/>
            <w:shd w:val="clear" w:color="auto" w:fill="E3F3E9"/>
            <w:tcBorders>
              <w:top w:val="single" w:sz="6" w:color="C7D5EC"/>
              <w:left w:val="single" w:sz="6" w:color="C7D5EC"/>
              <w:bottom w:val="single" w:sz="6" w:color="C7D5EC"/>
              <w:right w:val="single" w:sz="6" w:color="C7D5EC"/>
              <w:insideH w:val="single" w:sz="6" w:color="C7D5EC"/>
              <w:insideV w:val="single" w:sz="6" w:color="C7D5EC"/>
            </w:tcBorders>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Commercial lifecycle controls, subscription pricing,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val="0"/>
                <w:color w:val="000000"/>
                <w:sz w:val="16"/>
              </w:rPr>
              <w:t>NEEDS ATTENTION</w:t>
              <w:br/>
              <w:t>• School lifecycle is still incomplete. Implemented School and onboarding status transitions now close active impersonation sessions transactionally, and session start takes the same Tenant lock, so reactivation cannot revive an old proxy. Operator suspension, reactivation and recoverable soft delete for commercial reasons remain missing, and ordinary login-session revocation is still undefined.</w:t>
              <w:br/>
              <w:t>• Define closed-Branch access rules and prevent destructive deletion where dependent records exist.</w:t>
              <w:br/>
              <w:t>• A plan no longer caps a school's size. The student, teacher and administrator ceilings were stored and read by nothing, and the branch ceiling was enforced on both creation paths, so the cheapest tier refused a proprietor the fourth site she had planned for months. All four are removed and size is priced rather than fenced, which leaves the depth wall as the only thing that moves a school up a tier.</w:t>
              <w:br/>
              <w:t>• Nothing yet prices it. The plan carries no rate, no floor and no billing unit, and no term headcount is taken from the student register, so what a school is charged is still decided outside the platform.</w:t>
              <w:b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br/>
              <w:t>• Positions cannot be connected to the staff domain as they stand, which Module 12 established by trying. OrgNode carries no tenant and is one platform-global tree, and PositionAssignment refuses any non-platform user outright, so a school's staff cannot hold a seat and the workflow engine's ORGANOGRAM approver source resolves to nobody for a school every time - silently, because an empty approver list parks a document rather than raising. Making the organogram tenant-aware is this module's to decide, and until it is, a school's reporting line does not exist and nothing may route by it.</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The registry requires that scope when a key is created, and its module, resource and action identity cannot be renamed through a supported update. Each permission records the product capability that governs it, and a second gate refuses a request the caller's role allows but the school's plan does not reach, with a refusal of its own.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 reaching finance, procurement and payments</w:t>
            </w:r>
          </w:p>
          <w:p w14:paraId="06A753C5" w14:textId="77777777" w:rsidR="00472341" w:rsidRDefault="00000000">
            <w:pPr>
              <w:spacing w:after="0"/>
            </w:pPr>
            <w:r>
              <w:rPr>
                <w:color w:val="000000"/>
                <w:sz w:val="16"/>
              </w:rPr>
              <w:t xml:space="preserve"/>
            </w:r>
          </w:p>
          <w:p w14:paraId="06A753C5" w14:textId="77777777" w:rsidR="00472341" w:rsidRDefault="00000000">
            <w:pPr>
              <w:spacing w:after="0"/>
            </w:pPr>
            <w:r>
              <w:rPr>
                <w:color w:val="000000"/>
                <w:sz w:val="16"/>
              </w:rPr>
              <w:t>▸  Reserved approval-role keys refused at role creation</w:t>
            </w:r>
          </w:p>
        </w:tc>
      </w:tr>
      <w:tr w:rsidR="00472341" w14:paraId="710CD5E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the school_admin and branch_admin prebuilt templates from a school-app data migration. Existing template rows, including deliberately deactivated ones, are preserved. Missing or unusable required templates now refuse school or branch creation instead of leaving a parent record with no administrator.</w:t>
              <w:b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b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b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b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b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b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v1.0.</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nineteen config.* keys are PLATFORM-scoped, which the RBAC grant guard enforces independently of how a school composes its roles, and the enforcement switch the plan gate reads is platform-scoped for the same reason.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Five current gaps are recorded in the FRD rather than here. The first is the shape of the module rather than an oversight: a setting a school ought to own for itself has no route, and one would have to be introduced deliberately.</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p w14:paraId="7CDC09B0" w14:textId="77777777" w:rsidR="00472341" w:rsidRDefault="00000000">
            <w:pPr>
              <w:spacing w:after="60" w:before="0" w:line="240" w:lineRule="auto"/>
            </w:pPr>
            <w:r>
              <w:rPr>
                <w:rFonts w:ascii="Aptos Narrow" w:hAnsi="Aptos Narrow"/>
                <w:b w:val="0"/>
                <w:color w:val="000000"/>
                <w:sz w:val="16"/>
              </w:rPr>
              <w:t>▸  Tenant-composed approver groups, with no role provisioned to fill them</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01971CB" w14:textId="77777777" w:rsidR="00472341" w:rsidRDefault="00000000">
            <w:pPr>
              <w:keepNext/>
              <w:spacing w:after="0" w:before="0" w:line="240" w:lineRule="auto"/>
              <w:jc w:val="left"/>
            </w:pPr>
            <w:r>
              <w:rPr>
                <w:rFonts w:ascii="Aptos Narrow" w:hAnsi="Aptos Narrow"/>
                <w:b w:val="0"/>
                <w:color w:val="000000"/>
                <w:sz w:val="16"/>
              </w:rPr>
              <w:t>NEEDS ATTENTION</w:t>
              <w:br/>
              <w:t>• An approval route with no steps is refused rather than treated as approval. A tenant that has not built its ladder resolves to the shared platform row, which carries no steps, and submission raises a named refusal that the submitter may confirm past. The confirmation is recorded against whoever gives it, so an unreviewed post is a decision somebody made rather than a silence.</w:t>
              <w:br/>
              <w:t>• Continue-without-approval remains available only where a document handler permits it. Payouts forbid it; permitted document types still rely on audit rather than a second reviewer.</w:t>
              <w:b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issuer, entity, or tenant branding and use one polished, email-client-safe layout.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br/>
              <w:t>• Import notifications are the module's own rows and are not dispatched through Module 8. There is no email, no bell entry and no delivery record, and the feed requires a platform key, so the school administrator who started an import cannot read the notice about it.</w:t>
              <w:br/>
              <w:t>• A run cannot be stopped once it has started. Cancellation covers only the statuses before execution and the row loop checks nothing, so a long import of a wrong file must finish and then be rolled back.</w:t>
              <w:br/>
              <w:t>• Execution reads the batch's stored preview rows with no streaming path, so the practical file size is bounded by one JSON column and one in-memory list. No limit is stated or enforced.</w:t>
              <w:b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Documented by M11 FRD v2.5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In use: 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Six models and twenty-two endpoints behind nine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176 tests. Documented by M12 FRD v2.1 and built from the Staff Management design of 30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Two of the ten capabilities above are not evidenced, and are why this module is Partial rather than Complete. Department, position and manager assignment: the organogram this was meant to reuse is a single platform-global tree whose PositionAssignment refuses any non-platform user, so a school's staff cannot hold a seat in it and no reporting line exists. That is recorded rather than worked around: no second organization structure was built, which is what the previous revision asked for. And availability indicators: leave is recorded and approved, and nothing states whether somebody is free at a given hour, because no contract records hours and a half-built answer would be read as a real one.</w:t>
              <w:b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br/>
              <w:t>• Field-level access is not applied to the staff payload. The account half is a labelled object rather than merged into the record, and documents are served only through the authenticated media view, but no field on the record is restricted by grant the way the pay figures are.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sz w:val="16"/>
              </w:rPr>
              <w:t>• The invoice pay link is served end to end by the backend, but the page it addresses belongs to the public application and is not built. Until it is, a customer clicking Pay online reaches nothing.</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b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D4B077" w14:textId="77777777" w:rsidR="00472341" w:rsidRDefault="00000000">
            <w:pPr>
              <w:keepNext/>
              <w:spacing w:after="0" w:before="0" w:line="240" w:lineRule="auto"/>
              <w:jc w:val="left"/>
            </w:pPr>
            <w:r>
              <w:rPr>
                <w:rFonts w:ascii="Aptos Narrow" w:hAnsi="Aptos Narrow"/>
                <w:b w:val="0"/>
                <w:color w:val="000000"/>
                <w:sz w:val="16"/>
              </w:rPr>
              <w:t>NEEDS ATTENTION</w:t>
              <w:br/>
              <w:t>• Approval fails closed for controlled spend and nothing is imposed to achieve it. A tenant ladder is published when its books are created, tenant-scoped and branch-aware, and each step names an approver group created empty, so the first document parks rather than skipping. A repair pass frees parked work once somebody joins the group, with no resubmission. A tenant with no ladder of its own resolves to the shared platform row, which carries no steps, and is refused with a named reason rather than approved.</w:t>
              <w:b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b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now presents structured order, delivery, payment, attachment, note, and buyer-contact details.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v1.0, which records the shape these gaps follow from: this module owns no application, and every dashboard is served by the module whose records it summarises, gated on that domain's own key and computed at read time.</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v1.0.</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C2461B" w14:textId="77777777" w:rsidR="00472341" w:rsidRDefault="00000000">
            <w:pPr>
              <w:keepNext/>
              <w:spacing w:after="0" w:before="0" w:line="240" w:lineRule="auto"/>
              <w:jc w:val="left"/>
            </w:pPr>
            <w:r>
              <w:rPr>
                <w:rFonts w:ascii="Aptos Narrow" w:hAnsi="Aptos Narrow"/>
                <w:b w:val="0"/>
                <w:color w:val="000000"/>
                <w:sz w:val="16"/>
              </w:rPr>
              <w:t>CURRENT DECISION</w:t>
              <w:br/>
              <w:t>• Module 31 remains Backend Complete and In use Complete with seventeen capability entries, reconciled to M31 FRD v1.5.</w:t>
              <w:br/>
              <w:t>• A school's ticket is the school's own until the school escalates it. The platform desk spans CodeX's own tickets, the ones a school sent up, and anything a support user is personally on, rather than everything every tenant files.</w:t>
              <w:br/>
              <w:t>• Naming a ticket's owner is the platform desk's. Every assignee is CodeX support staff, so choosing among them is CodeX's rota and tickets.ticket.assign is platform-scoped.</w:t>
              <w:b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Stand up the Celery worker and broker and take the web service out of eager mode. Eager mode has no beat scheduler, so every periodic task is inert: overdue fees are never chased, an approved payout that was never dispatched is never recovered, and gateway money that failed to book raises no alarm.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v2.75 Capability Delta</w:t>
      </w:r>
    </w:p>
    <w:p w14:paraId="4C4A5E5A" w14:textId="77777777" w:rsidR="00472341" w:rsidRDefault="00000000">
      <w:pPr>
        <w:spacing w:after="100" w:line="240" w:lineRule="auto" w:before="0"/>
      </w:pPr>
      <w:r>
        <w:rPr>
          <w:rFonts w:ascii="Aptos Narrow" w:hAnsi="Aptos Narrow"/>
          <w:b w:val="0"/>
          <w:color w:val="000000"/>
          <w:sz w:val="18"/>
        </w:rPr>
        <w:t>This revision records a boundary Module 31 has enforced since escalation shipped and never wrote down, and narrows one it was not enforcing at all. A school's ticket is the school's own until they send it up, and naming its owner is CodeX's, on a key no school may hold.</w:t>
      </w:r>
    </w:p>
    <w:tbl>
      <w:tblPr>
        <w:tblW w:w="10152"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1944"/>
        <w:gridCol w:w="5544"/>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cantSplit/>
          <w:tblHeader w:val="true"/>
          <w:tblHeader w:val="true"/>
          <w:tblHeader w:val="true"/>
          <w:tblHeader w:val="true"/>
          <w:tblHeader w:val="true"/>
          <w:tblHeader w:val="true"/>
        </w:trPr>
        <w:tc>
          <w:tcPr>
            <w:tcW w:w="266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v2.75 capability delta</w:t>
            </w:r>
          </w:p>
        </w:tc>
        <w:tc>
          <w:tcPr>
            <w:tcW w:w="194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554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31 capabilities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16 to 17</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triage and escalation to CodeX becomes an entry of its own. The behaviour shipped earlier and no capability described it, so this records what exists rather than counting anything new.</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31 ticket ownership</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Narrowed to the platform desk</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Assignment asked who the assignee was and never whose ticket it was. Every assignee is CodeX support staff and an assignee is a participant, so naming one admitted the desk to a school's thread and its internal notes with none of escalation's audit entry or notification, on a weaker key than escalating asks for.</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tickets.ticket.assign</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Reclassified platform-scoped</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holding it can now act on nothing, so its roles screen no longer offers it. A migration takes back any grant a school was given, because the scope guard refuses a platform key on a tenant role and the rows would leave those roles unsaveable.</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31 status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Unchanged at Complete and Complete</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desk works as documented. This revision records a boundary and narrows an authority; it neither adds nor removes a capability.</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M31 FRD</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Revised to v1.5</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Adds FR-013 for escalation, rewrites FR-005 for ownership, corrects the platform span in FR-002 and the actor table, and reconciles the traceability to all seventeen entries.</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8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6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v2.75</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v2.75</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2.75</cp:version>
</cp:coreProperties>
</file>