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1.10</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9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and migrated first-party browser clients at 9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v2.70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now resolves its target through the same tenant and branch scope as the account viewset, and an out-of-scope id receives the same 404 as a missing one. The identity audit endpoint also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Within the platform tenant, the unauthenticated barcode preview remains a name-and-existence oracle by design and is limited only by its throttle.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LoginSession stores the refresh token's JTI, the address,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address,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Sign in. Optional tenant slug in the body. A browser Origin must match the first-party allowlist. Returns access and session context, sets the refresh and CSRF cookies, and never returns refresh.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accounts, or create one. platform.team.view / .create. The list is tenant and branch narrowed.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The focused browser-session contract contains nine tests and passed in full, alongside the two existing session-scoped logout tests. The migrated school client passed 46 focused auth tests and its production build; its source and production bundle contain neither js-cookie nor refresh-token identifiers. The Console's cookie flow is already present, and its focused auth test passed during this review.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Cross-tenant isolation on every account action: an administrator cannot suspend, unlock, rename, force-logout, invite or reset an account outside their own tenant and branch reach. Covered by AccountActionScopeMatrixTests.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There is no vs_user entry in the Celery beat schedule at all, while six other modules have one. Add the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v2.70 records Module 3 as Identity, Team &amp; Organogram, Phase V1, Backend Partial, In use Complete, code ownership vs_user, with seventeen capability entries. Each entry maps below.</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Sixteen actions reach the shared tenant-scoped trail behind platform.audit.view;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v2.70 lists Module 3 as Backend Partial and In use Complete with seventeen capabilities. This revision renames the two refresh capabilities to state the cookie boundary without adding a product surface or changing the count.</w:t>
              <w:br/>
              <w:t>• Login and refresh responses carry no refresh credential. Browser refresh and logout use the host-only HttpOnly cookie and require CSRF; the request-body compatibility path is absent.</w:t>
              <w:br/>
              <w:t>• Partial remains correct because privileged MFA and the existing tenant lifecycle, lockout, retention, audit-model and organogram gaps remain.</w:t>
              <w:br/>
              <w:t>• Backend and client evidence only. Neither document claims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v1.10</dc:title>
  <cp:lastModifiedBy>Chidera Ohiaekpete</cp:lastModifiedBy>
  <cp:revision>1</cp:revision>
  <cp:lastPrinted>2026-07-17T18:03:00Z</cp:lastPrinted>
  <dcterms:created xsi:type="dcterms:W3CDTF">2026-07-17T18:03:00Z</dcterms:created>
  <dcterms:modified xsi:type="dcterms:W3CDTF">2026-08-19T12:00:00Z</dcterms:modified>
  <cp:version>1.10</cp:version>
</cp:coreProperties>
</file>