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2.70</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9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and first-party client change moving browser refresh credentials into a Secure HttpOnly SameSite cookie, keeping access tokens in memory, requiring CSRF on refresh and logout, and removing the response-body refresh-token contract (9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492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v2.70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Browser refresh credentials leave JavaScript and the legacy body contract is removed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21</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br/>
              <w:t>• Bulk scheduling changes dates without rewriting an existing entitlement decision. An explicit denial rejects the whole batch, existing grants keep their source, and only a target with no row is created as a manual grant.</w:t>
              <w:br/>
              <w:t>• A module is sold whole and used in slices. The catalogue is two levels deep: a module is what a school holds, and a band is that module cut at Core, Plus or Advanced. A band is never granted on its own; it answers when the depth on its module's grant reaches it, so moving a feature between bands is one field on one row and every school sees it on the next request, with nothing rewritten per tenant. A grant that names no depth reaches every band, which is what every grant written before depth existed means and why a missing depth cannot be read as the shallowest one.</w:t>
              <w:br/>
              <w:t>• An uplift given for a deal is a row of its own, with its own dates. Ending it on the entitlement would end the grant rather than the uplift, taking the whole module away instead of returning the school to the tier it actually pays for. It only ever adds, so a school that upgrades past an old uplift is not demoted by a row nobody deleted.</w:t>
              <w:br/>
              <w:t>• A capability can now be retired without being deleted. The catalogue could add and update but never archive, so a row that stopped describing anything sellable stayed active for ever. Vendors was the first: it was a module, then briefly a Core band of Procurement, and a second Core band beside Procurement's own was a distinction nothing could act on, because a school reaching one always reached the other. Its keys moved to Procurement's Core band and the row is archived, not removed, since entitlements, overrides and audit history point at it.</w:t>
              <w:br/>
              <w:t>• Three more capability rows are retired. The platform module's generic bands held no permission keys and structurally never would, because that module's keys live in named siblings at the same depth: email alerts at Core, bulk import and data export at Plus. An empty band is not by itself a reason to retire one, and the seeder now records the difference: Attendance, Gradebook and the portals have empty bands because nobody has built them, and those are the price list's shape for what is coming.</w:t>
              <w:br/>
              <w:t>• A school can read its own plan. Every config.* key is platform-scoped, so no school role held one and the grant guard would refuse to give one, which left every school screen asking a role question instead: always yes for an administrator, and silent about what the school bought. A self-scoped read now answers it with no permission key, for the caller's own tenant only and reporting states rather than the entitlement rows behind them. It is open before go-live, because a school's navigation is first drawn while it is still pending.</w:t>
              <w:br/>
              <w:t>• Bulk import is Core rather than Plus. It is one band for the whole platform, so its depth is not a fact about one screen: every import key answers to it, and pricing it above the cheapest plan closed the template list, the batch history and the upload together. A school arriving with four hundred children in a spreadsheet had no way in, on the plan most schools start on, at the one moment the product asks them to load data. Data export stays at Plus, which is the reverse case: a school that has already loaded its records is asking to take them out in bulk.</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br/>
              <w:t>• Import notifications are the module's own rows and are not dispatched through Module 8. There is no email, no bell entry and no delivery record, and the feed requires a platform key, so the school administrator who started an import cannot read the notice about it.</w:t>
              <w:br/>
              <w:t>• A run cannot be stopped once it has started. Cancellation covers only the statuses before execution and the row loop checks nothing, so a long import of a wrong file must finish and then be rolled back.</w:t>
              <w:br/>
              <w:t>• Execution reads the batch's stored preview rows with no streaming path, so the practical file size is bounded by one JSON column and one in-memory list. No limit is stated or enforced.</w:t>
              <w:b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v2.70 Capability Delta</w:t>
      </w:r>
    </w:p>
    <w:p w14:paraId="4C4A5E5A" w14:textId="77777777" w:rsidR="00472341" w:rsidRDefault="00000000">
      <w:pPr>
        <w:spacing w:after="100" w:line="240" w:lineRule="auto" w:before="0"/>
      </w:pPr>
      <w:r>
        <w:rPr>
          <w:rFonts w:ascii="Aptos Narrow" w:hAnsi="Aptos Narrow"/>
          <w:b w:val="0"/>
          <w:color w:val="000000"/>
          <w:sz w:val="18"/>
        </w:rPr>
        <w:t>This revision closes the browser refresh-token exposure at the shared contract. The Console and school client restore sessions through the HttpOnly cookie, keep access tokens in memory, and persist no credential-bearing auth state. Login and refresh never return a refresh credential, and refresh and logout no longer accept one from the request body.</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448"/>
        <w:gridCol w:w="1655"/>
        <w:gridCol w:w="636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rPr>
        <w:tc>
          <w:tcPr>
            <w:tcW w:w="244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v2.70 capability delta</w:t>
            </w:r>
          </w:p>
        </w:tc>
        <w:tc>
          <w:tcPr>
            <w:tcW w:w="1656"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365"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Browser refresh credential</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Removed from JavaScript</w:t>
            </w:r>
          </w:p>
        </w:tc>
        <w:tc>
          <w:tcPr>
            <w:tcW w:type="dxa" w:w="636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Login stores the one-day rotating credential in a host-only Secure HttpOnly SameSite cookie. Neither first-party client can read it.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credential</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Memory only</w:t>
            </w:r>
          </w:p>
        </w:tc>
        <w:tc>
          <w:tcPr>
            <w:tcW w:type="dxa" w:w="636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Login and refresh return the fifteen-minute access token. The clients keep it in module memory rather than cookies, Redux, localStorage, or sessionStorage.</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Reload recovery</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Restored from the server</w:t>
            </w:r>
          </w:p>
        </w:tc>
        <w:tc>
          <w:tcPr>
            <w:tcW w:type="dxa" w:w="636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reload uses the refresh cookie to obtain a new access token, then /auth/me/ rebuilds the user, tenant, permissions, session, and active proxy context.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Refresh and logout</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Cookie plus CSRF</w:t>
            </w:r>
          </w:p>
        </w:tc>
        <w:tc>
          <w:tcPr>
            <w:tcW w:type="dxa" w:w="636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Both routes read the refresh cookie only. A missing or invalid double-submit CSRF token is refused before rotation or revocation.</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Browser origin</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First-party allowlist</w:t>
            </w:r>
          </w:p>
        </w:tc>
        <w:tc>
          <w:tcPr>
            <w:tcW w:type="dxa" w:w="636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Login accepts the Console and one school subdomain per configured base domain. An untrusted Origin is refused before credentials are processed.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Legacy token body</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Removed</w:t>
            </w:r>
          </w:p>
        </w:tc>
        <w:tc>
          <w:tcPr>
            <w:tcW w:type="dxa" w:w="636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Login and refresh responses never contain refresh. A refresh value submitted in a request body is ignored and cannot authenticate the request.</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2.70</cp:version>
</cp:coreProperties>
</file>