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1.10</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1.10</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19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main at 1e722f5 (19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v2.19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vs_config, vs_rbac, vs_user, vs_audit, vs_import_data, vs_finance, schools/vs_onboarding,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capacity,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campuses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CURRENT MODULE DECISION</w:t>
            </w:r>
          </w:p>
          <w:p>
            <w:pPr>
              <w:spacing w:before="0" w:after="40" w:line="240" w:lineRule="auto"/>
            </w:pPr>
            <w:r>
              <w:rPr>
                <w:rFonts w:ascii="Aptos Narrow" w:hAnsi="Aptos Narrow"/>
                <w:b w:val="0"/>
                <w:color w:val="000000"/>
                <w:sz w:val="17"/>
              </w:rPr>
              <w:t>• Module 1 remains Backend Partial and Integration Partial in MRD v2.19.</w:t>
            </w:r>
          </w:p>
          <w:p>
            <w:pPr>
              <w:spacing w:before="0" w:after="40" w:line="240" w:lineRule="auto"/>
            </w:pPr>
            <w:r>
              <w:rPr>
                <w:rFonts w:ascii="Aptos Narrow" w:hAnsi="Aptos Narrow"/>
                <w:b w:val="0"/>
                <w:color w:val="000000"/>
                <w:sz w:val="17"/>
              </w:rPr>
              <w:t>• The defining blocker is School lifecycle control. An abandoned onboarding can now suspend a School and platform staff can return it, but operator suspension, reactivation, and recoverable deletion, and the handling of closed or deleted Schools and Branches, remain open.</w:t>
            </w:r>
          </w:p>
          <w:p>
            <w:pPr>
              <w:spacing w:before="0" w:after="40" w:line="240" w:lineRule="auto"/>
            </w:pPr>
            <w:r>
              <w:rPr>
                <w:rFonts w:ascii="Aptos Narrow" w:hAnsi="Aptos Narrow"/>
                <w:b w:val="0"/>
                <w:color w:val="000000"/>
                <w:sz w:val="17"/>
              </w:rPr>
              <w:t>• A School's canonical site and its sign-in address are now both protected. The main Branch can no longer be taken out of service, the designation is handed over instead of stranded, and a School that has been live cannot move the address its users sign in at.</w:t>
            </w:r>
          </w:p>
          <w:p>
            <w:pPr>
              <w:spacing w:before="0" w:after="40" w:line="240" w:lineRule="auto"/>
            </w:pPr>
            <w:r>
              <w:rPr>
                <w:rFonts w:ascii="Aptos Narrow" w:hAnsi="Aptos Narrow"/>
                <w:b w:val="0"/>
                <w:color w:val="000000"/>
                <w:sz w:val="17"/>
              </w:rPr>
              <w:t>• Every supported write on this module is now audited, and an audit failure can no longer destroy the change it describes. School update and configuration reset emit the evidence they never emitted, and emit_audit_event writes inside its own savepoint, so a failing audit row rolls back to that savepoint rather than marking the caller's transaction for rollback. That evidence is now filed where it can be found: School and Branch events are keyed on the primary key rather than on the slug and the Branch code, so a pre-go-live address correction no longer splits a School's trail in two, and every School's main Branch no longer shares one platform-wide trail row with every other School's.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must be enforced separately in every Branch-sensitive consumer.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 and School.save() create the School and Tenant atomically, together with at least one Branch, which the serializer now requires (FR-018). New Schools begin PENDING unless an explicit supported status path changes them. The same transaction also provisions the School's set of books (FR-017) and its Module 9 onboarding control room, each best effort inside its own savepoint so neither can cost the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request persists one School, one protected Tenant, at least one Branch of which exactly one is main, and any valid nested onboarding records. A payload carrying no Branch is rejected before anything is written. Hard database failures roll back the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Invitation provisioning uses an inner savepoint and may fail without rolling back the School; the queued admin link then requires operational reconciliation. Books and onboarding provisioning fail the same way and are repaired by a command and by re-provisioning respectively.</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SchoolPrimaryAdmin, ContactInfo, User, TenantUserRoleAssignment, InvitationService, and the Celery invitation task form the current path.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unused email produces a School-scoped inactive user with the prebuilt School administrator role and an invitation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exceptions are logged and swallowed. The School remains created and the admin link can remain QUEUED without an exposed retry queue.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 and the shared admin-provisioning service create the current link. Nested School onboarding can reuse the School admin email without creating a duplicate user.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administrator is linked to the target Branch and its School tenant, and the invitation state is visible.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Standalone Branch creation declares primary admin data as optional but the creation path effectively requires it. Failed provisioning has the same reconciliation gap as School admins.</w:t>
            </w:r>
          </w:p>
        </w:tc>
      </w:tr>
    </w:tbl>
    <w:p>
      <w:pPr>
        <w:pStyle w:val="Heading2"/>
        <w:spacing w:before="220" w:after="120" w:line="240" w:lineRule="auto"/>
        <w:keepNext/>
        <w:pBdr>
          <w:bottom w:val="single" w:sz="8" w:space="5" w:color="355B9D"/>
        </w:pBdr>
      </w:pPr>
      <w:r>
        <w:rPr>
          <w:rFonts w:ascii="Aptos Narrow" w:hAnsi="Aptos Narrow"/>
          <w:b/>
          <w:color w:val="000000"/>
          <w:sz w:val="27"/>
        </w:rPr>
        <w:t>FR-007  Assign Package Capacity and Capabilities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can select an active PackagePlan, validate capacity values, set subscription expiry, and grant dependency-closed capabilities.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SchoolPackageSetup validates student, teacher, and administrator capacities and vs_config stores entitlements, dependencies, schedules, overrides, and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Invalid capacity or expiry input fails validation. Effective capability evaluation honors entitlement, dependency state, time window, and scoped override precedence.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PackagePlan.max_branch is stored but not enforced during School or Branch creation.</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still rejected as 'No changes detected' before branding is upserted, because the change counter runs over direct School fields and branding is popped off the payload before it is counted (Section 9). The display name is not writable at all (Section 9).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staff authorization still requires explicit Branch filtering in every dependent domain; tenant filtering alone is only a School boundary.</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now admits a Tenant that is ACTIVE or PENDING, so a School that has not gone live can sign in; what such a caller may reach is decided per view by a surface allowlist that is closed by default, and everything outside it answers 403 with a code of its 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now holds on the audit trail endpoint too, whose entity selector is the primary key rather than the per-Tenant Branch code. Branch-bound roles receive only authorized Branch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jobs require explicit scoping and Branch-level filtering is not universal across dependent applications.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Pr>
          <w:p>
            <w:pPr>
              <w:spacing w:before="0" w:after="0" w:line="240" w:lineRule="auto"/>
              <w:jc w:val="left"/>
            </w:pPr>
            <w:r>
              <w:rPr>
                <w:rFonts w:ascii="Aptos Narrow" w:hAnsi="Aptos Narrow"/>
                <w:b/>
                <w:color w:val="1F7A4D"/>
                <w:sz w:val="18"/>
              </w:rPr>
              <w:t>FR-013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non-empty token passes. Entitlements, configuration values, overrides, localization, and package setup are not reset, so the recorded before/after pair describes branding and nothing else.</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exposes PENDING, ACTIVE, INACTIVE, and now SUSPENDED, and School.save() synchronizes the paired Tenant status and its pending stamps. The only lifecycle path in service is the onboarding one: expiry suspends an abandoned School and platform staff return it to onboarding (FR-019).</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Lifecycle operations require dedicated permissions, synchronize Tenant state, revoke or restrict access as defined,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still no operator suspend or reactivate for commercial reasons, no DELETED state, no soft-delete field, no lifecycle endpoint in this module, and no guarded delete service. Direct School deletion does not reach Branch data: Branch has no school column and its protected foreign key is to the Tenant, so a School delete cascades only to branding, package setup, and the primary-admin link. The unhandled case is the mirror image. Deleting the School profile leaves its Tenant and every Branch under it standing with no School identity, and the protected Tenant relationship stops the Tenant being removed to tidy up.</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gained a SUSPENDED status, and the onboarding expiry sweep writes it through the School rather than beside it, because School.save() mirrors status onto the Tenant and a Tenant suspended on its own would be returned to PENDING by the next ordinary School edit. The mirror also maintains the Tenant's pending stamps: entering PENDING stamps them, leaving clears them, and an ordinary edit leaves them alone so the expiry clock does not restart. Platform staff return a suspended School to onboarding through the Module 9 reinstatement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suspended School and its Tenant hold the same status, and an ordinary School edit does not silently reactivate either. Renaming a pending School does not restart its onboarding clock. Reinstatement gives the School a fresh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the onboarding lifecycle only. There is still no operator suspend or reactivate for commercial reasons, no recoverable soft delete, and no defined effect on live sessions.</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Optional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primary School admin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identity records consistent and traceable.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primary admin links, roles, and invitations. At least one is always present and exactly one is main.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all database writes atomic except the deliberate invitation savepoint, and never persist a School with no Branch.</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and dependency-closed entitlements.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capacity, expiry, or capability input.</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dispatch invitations asynchronously.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Expose failed invitation reconciliation without rolling back valid School creation.</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mirrored onto the Tenant with its pending stamps on every save; the slug is mirrored too while the School has never been live, and frozen once it has; audit evidence is keyed on the primary key rather than the slug, so a pre-go-live correction keeps one trail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the onboarding pending stamps synchronized by School.save(); ACTIVE or PENDING may authenticate; the slug is the sign-in subdomain, may not be a reserved platform hostname, and cannot move once the Tenant has been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Campus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capacity maxima;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capacities,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 contact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 contact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Branch</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the School ID, and nested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Branch type is optional on every write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except the deliberate nested School-admin reuse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Package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At least 1 and no more than plan maximum</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empty result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School/Branch admin roles and Branch assignments.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invitations; send activation email.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counts/details and expose controlled operator navigation.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Add operator activation, suspension, reactivation, recoverable soft deletion, guarded hard deletion, access effects, and audit evidence. Onboarding expiry and manual reinstatement now cover the onboarding case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branding-only School update is refused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Accept a request that changes only the logo. It is rejected as 'No changes detected' before branding is upserted, because the change counter runs over direct School fields and branding is popped off the payload before it is counted. The audit half of this item is resolved and has left with it: School update and configuration reset now emit before/after evidence, a slug move is raised to WARNING and named in its summary, and an audit failure can no longer roll the School's own change back.</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Admin provisioning reconciliation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Expose queued/failed invitations, retry action, and operator visibility.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FR-004, FR-006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Declare reset scope, bind confirmation to School, and restore inherited state safely.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Branch capacity</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Enforce max_branch or remove it from the active product contract.</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FR-007</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v2.19 to the controlling functional requirement in this FRD. Every row now has an MRD entry. MRD v2.19 adds the three Module 1 capabilities this document had recorded ahead of it, so no deliberate disagreement between the two documents remains.</w:t>
      </w:r>
    </w:p>
    <w:tbl>
      <w:tblPr>
        <w:tblW w:type="dxa" w:w="10468"/>
        <w:jc w:val="center"/>
        <w:tblLayout w:type="fixed"/>
        <w:tblLook w:firstColumn="1" w:firstRow="1" w:lastColumn="0" w:lastRow="0" w:noHBand="0" w:noVBand="1" w:val="04A0"/>
      </w:tblPr>
      <w:tblGrid>
        <w:gridCol w:w="4536"/>
        <w:gridCol w:w="2520"/>
        <w:gridCol w:w="3412"/>
      </w:tblGrid>
      <w:tr>
        <w:trPr>
          <w:tblHeader w:val="true"/>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branding-only update defect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and enabled-module setup</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max_branch limit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reconciliation gap</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at Branch-bound authorization layer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branding-only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best effort, repaired by command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handover and in-service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sign-in address governance and go-live freeze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and branch audit evidence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 FR-013, 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and Branch Management Functional Requirements Document v1.6</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2026-08-18T09:00:00Z</dcterms:modified>
  <cp:version>1.6</cp:version>
</cp:coreProperties>
</file>