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355c59b665fd27d4c47152fa9638093b2e95dc49 plus uncommitted Branch lifecycle work (12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v2.8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inside that School boundary.</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v2.8.</w:t>
            </w:r>
          </w:p>
          <w:p>
            <w:pPr>
              <w:spacing w:before="0" w:after="40" w:line="240" w:lineRule="auto"/>
            </w:pPr>
            <w:r>
              <w:rPr>
                <w:rFonts w:ascii="Aptos Narrow" w:hAnsi="Aptos Narrow"/>
                <w:b w:val="0"/>
                <w:color w:val="000000"/>
                <w:sz w:val="17"/>
              </w:rPr>
              <w:t>• The defining blockers are School lifecycle controls and safe handling of closed or deleted Schools and Branches. The Branch transition defect is resolved in this revision.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and logo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and Branch business code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within the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Deleting the Tenant cannot silently delete the School.</w:t>
      </w:r>
    </w:p>
    <w:p>
      <w:pPr>
        <w:spacing w:before="0" w:after="40" w:line="240" w:lineRule="auto"/>
        <w:ind w:left="288" w:hanging="202"/>
      </w:pPr>
      <w:r>
        <w:rPr>
          <w:rFonts w:ascii="Aptos Narrow" w:hAnsi="Aptos Narrow"/>
          <w:b w:val="0"/>
          <w:color w:val="000000"/>
          <w:sz w:val="18"/>
        </w:rPr>
        <w:t>• Branch belongs to exactly one School and uses TenantAwareManager for ambient School-tenant filtering.</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New Schools begin PENDING unless an explicit supported status path changes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and any valid nested onboarding records.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and the code is allocated through the tenant document-number service with the SC prefix.</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responses expose the internal School ID used by scoped configuration endpoints.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The public update serializer does not allow name, slug, or code changes.</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do not provide an onboarding checklist, readiness state, go-live decision, or rollback workflow.</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per-School code,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allocates max(code)+1 while locking rows, exposes the database ID in list/detail responses, and creates BranchLifecycle history.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 has PENDING status, an opened timestamp, a code, and an initial lifecycle entry.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database has no unique constraint for (school, code) and no conditional constraint for one main Branch. Serializer checks do not protect direct ORM or all concurrent paths.</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and Branch fields, allow-listed ordering, nested main Branch data, and stable School IDs. Detail returns branding, admins, package setup, and Branches.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SchoolDetailView currently converts unexpected exceptions into a response containing the exception type, message, and traceback. This is unsafe for production.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and optional branding logo.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rejected as 'No changes detected' before branding is upserted. School update does not emit the expected platform audit event.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has no defined effect on dependent records, sessions, or Branch-bound users. Lifecycle control is platform-side only: a School administrator cannot transition a Branch of their own School.</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and endpoints declare platform permission keys.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FR-013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and Branch update emit platform audit evidence. Configuration and entitlement changes use a separate immutable configuration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update and reset configuration do not emit the expected platform events. Branch lifecycle history is now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package setup, and audit evidence are not reset.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Not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currently exposes PENDING, ACTIVE, and INACTIVE fields, and School.save() synchronizes the paired Tenant status.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SUSPENDED or DELETED School state, no lifecycle endpoint, no soft-delete field, and no guarded delete service. Direct School deletion can cascade Branch data while leaving the protected Tenant relationship as a separate concern.</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staff/student transfer, and Branch deletion must respect ownership and dependent records.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nested Branch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Branches, initial lifecycle rows, primary admin links, roles, and invitations.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only PENDING, ACTIVE, INACTIVE today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synchronized by School.save()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to School; tenant-aware manager; no database uniqueness for code/main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 GAPS</w:t>
            </w:r>
          </w:p>
          <w:p>
            <w:pPr>
              <w:spacing w:before="0" w:after="40" w:line="240" w:lineRule="auto"/>
            </w:pPr>
            <w:r>
              <w:rPr>
                <w:rFonts w:ascii="Aptos Narrow" w:hAnsi="Aptos Narrow"/>
                <w:b w:val="0"/>
                <w:color w:val="000000"/>
                <w:sz w:val="17"/>
              </w:rPr>
              <w:t>• Add a unique constraint for (school, code) and a conditional unique constraint for one is_main Branch per School.</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or repeated state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Lowercase URL-safe, unique, not reserved; collision suggestions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invalid input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Exactly one main Branch when Branches are supplied; unique names in payload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log server-side and return a generic response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code leaks debug details</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School, and Branch without cross-School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plus database constraint coverage once constraints are added.</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w:t>
      </w:r>
    </w:p>
    <w:p>
      <w:pPr>
        <w:spacing w:before="0" w:after="40" w:line="240" w:lineRule="auto"/>
        <w:ind w:left="288" w:hanging="202"/>
      </w:pPr>
      <w:r>
        <w:rPr>
          <w:rFonts w:ascii="Aptos Narrow" w:hAnsi="Aptos Narrow"/>
          <w:b w:val="0"/>
          <w:color w:val="000000"/>
          <w:sz w:val="18"/>
        </w:rPr>
        <w:t>• School update, Branch update, reset, lifecycle, and delete audit evidence.</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 activation, suspension, reactivation, recoverable soft deletion, guarded hard deletion, access effects, and audit evidence.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Unsafe School detail errors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generic production responses and keep traceback data in server logs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Database Branch constraints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Enforce unique (school, code) and one main Branch per School at the database boundary.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update and reset audit</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Emit before/after evidence and allow valid branding-only updates.</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FR-009, FR-013, 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v2.8 to the controlling functional requirement in this FRD.</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name-uniqueness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FR-009, FR-015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no School timezone field or full lifecycle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without database uniqueness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without database main-Branch constraint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closed-Branch access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branding-only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v1.2</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cp:version>
</cp:coreProperties>
</file>