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37b0e62 (21 August 2026), plus the change in this revision</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v2.21 | Module 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5 is the platform's shared memory of who did what. A module calls one helper with an actor, an action, a target and a snapshot; this module validates the vocabulary, attributes the actor, writes an append-only row, keeps a per-object rollup current, and serves the result to investigators through the Event Explorer. Its organising commitment is that recording a change may never endanger the change: the helper writes inside its own savepoint and never raises, so the worst an audit failure can cost is the audit row.</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helper, emit_audit_event, that every module calls. Validates, attributes, writes the event and updates the rollup,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rollup per audited object holding its label, event count, and first and last event times.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Counts, daily severity, module breakdown, sign-in outcomes, and a critical-event heatmap.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 xml:space="preserve">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and proxied changes have no second log: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Reading anybody's trail is a platform decision, not a tenant one. Every Event Explorer route requires platform.audit.view, exporting requires platform.audit.export, and configuring compliance rules requires platform.audit.manage. The two self-service routes require no key at all, because their querysets are pinned to the requesting user: one returns events where the caller is the actor, the other events where the caller is the target and somebody else acted. Reading is governed by the key, not by the row: the event queryset is not tenant-scoped, so a holder of platform.audit.view sees the whole platform and then narrows it with the tenant_slug filter (FR-008). That is correct for CodeX staff and is the reason the key is named platform, but it means the module still has no way to grant a school administrator sight of only their own school's trail: narrowing is a choice the reader makes, not a boundary the module imposes. What has changed is what holds that boundary. It used to be held by the seeder and the namespace convention alone. The school permission seeder stated the rule in prose, that a school role must never carry a key the platform tiering would read as cross-tenant reach, and nothing checked it: a per-user permission override was a plain foreign key to any active permission row, so a school administrator holding school.user_overrides.manage, or school.roles.create together with school.roles.assign, could hand themselves platform.audit.view and read every other school's trail. That was a live privilege escalation, it was proved end to end through the real endpoints, and it is closed. Permission and PermissionGroup now carry a declared scope of PLATFORM or TENANT, and a PLATFORM-scoped key granted inside a non-platform tenant is refused on the override path and on the role path alike. The discriminator is the stored field and not the platform. prefix, deliberately: two families inside platform.* are tenant-facing by design, and platform.audit.view and platform.audit.export are one of them, because an audit officer inside a school legitimately holds them for their own tenant's exports. The Explorer keys are therefore classified on evidence rather than on their names, and the tenant roster served by filter-options is gated on the caller's tenant kind for the same reason, so a school's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platform.audit.view. Not tenant-scoped: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Queue a CSV export of the filtered stream and read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platform.audit.manage. Rule rows are tenant-scoped through the shared tenant-aware manager, with null meaning platform-wide.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currently registers 65 actions across generic writes, identity, import, RBAC, proxy sessions, the Export Centre and school onboarding.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unregistered action type writes no row. Every action a module intends to emit appears in AuditActionType before that module ships, and the onboarding set is covered by a test that emits each value and asserts a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is silent. Because the helper swallows its own failures, an unregistered action type produces no event, no error at the call site and no visible trail. Registering the vocabulary ahead of the feature is a convention held by comments in models.py, not by a check.</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emitted while proxied names the proxier as actor, the proxied account as effective user, and the session id. An event emitted about a third party while proxied keeps its own attribution. Clearing the request context removes both identities.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Passing a string where a User is expected raises inside the helper, which then swallows the failure and writes nothing.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_SUMMARY_TEMPLATES covers 39 of the 65 registered actions. The rest, including every Export Centre and onboarding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 is a convention for callers, not a constraint this module can enforce: entity_id is a free text column and any caller may still write a mutable or tenant-local value into it. Because the trail has no tenant column, a future collision is a silent merge of two tenants' histories rather than an error.</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reads the trail through get_or_create, then overwrites entity_label whenever the incoming label differs, and register_event includes the field in its update_fields list. The refresh therefore rides on the save the rollup already performs and costs no extra query.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renamed object's trail shows the new name on the next event. The row's counts and timestamps are unaffected by the refresh.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limits, both bounded. Rows written before 19 August 2026 keep a NULL tenant and are not backfilled: one subset is exactly recoverable, because log_auth_event and the RBAC signals recorded tenant_id in metadata at the time, and recovering it was offered and declined rather than overlooked.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detail route returns the event with its before snapshot, its diff and its metadata. The entity-trail detail route takes an entity type and id and returns the rollup together with every event for that pair, newest first, answering 404 when no trail exists. The trail list is filterable by entity type and searchable across id and label, ordered by last event.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that exists returns its summary and its events in one response. A trail that does not exist answers 404 rather than an empty success.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trail detail response is not paginated: it serialises every event for the object in one payload, so a heavily audited object returns an unbounded response.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request returns every panel with a generation timestamp. Counts are computed in the database rather than in the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heatmap loads every critical event of the last 30 days and buckets it in Python so that each timestamp can be converted to local time, which is a row-by-row loop rather than an aggregate. Every figure is platform-wide: the dashboard takes no tenant parameter, unlike the Explorer beside it (FR-008), so it cannot be scoped to one school.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authorises by knowledge of the storage name, which core.storage's own docstring calls a capability URL, and its StoredFile row carries no owner, tenant or expiry, which is right for a school logo and wrong for a CSV of every actor, target and summary the filters allowed.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itself is deliberately not scoped to the requester: the list and detail routes serve every job, because platform.audit.export is a platform key and a school role never carries one. Separately, the app registers an audit.events dataset with the Export Centre under the same key, tenant-scoped, capped at 500,000 rows, with a required date range and the actor email marked sensitive.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platform.audit.manage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 trail is fetched or created, its label refreshed, and its counters advanced.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row per audited object holds the label, the count, and the first and last event times.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rollup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entity type and id, with no tenant column. Holds the current label, the event count, and the first and last event times.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route is platform-scoped and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with its before snapshot, diff and metadata.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Counters, severity series, module breakdown, sign-in series and critical heatmap.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catalogue of audited objects,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rollup plus every event for that object. 404 when no trail exists.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 history,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or create a rule. platform.audit.manage.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or delete a rule. platform.audit.manage.</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entity trail that has never been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 xml:space="preserve">Eleven surfaces write through emit_audit_event. Four of them keep their own authoritative log and treat this stream as a mirror; the other seven have no second record, so an event lost here is lost outright. Every one of the eleven now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 started and ended, against the session row, under PLATFORM or SCHOOL depending on who initiated it.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xml:space="preserve">•  Cross-tenant isolation where the module has something to isolate on. The export download route is bounded by the requester, and a holder of the key in another tenant is proved to receive 404 and no bytes. The event stream itself is not tenant-scoped by design, so what is tested there instead is the filter and the roster: that tenant_slug returns one customer's rows and no other customer's, that an unknown slug is a 400 and not an empty page, that __none__ reaches the platform layer, and that a holder of the key inside a school tenant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helper's contract is that it never raises, and it keeps that contract by swallowing every failure into logger.error and returning None. For the seven writers with no second log, that is a permanently lost fact with no counter, no dead-letter record and no alert.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Two unbounded responses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entity-trail detail route serialises every event for an object with no pagination. Free-text search is seven icontains clauses with no supporting index. The dashboard's critical heatmap loads 30 days of critical events and buckets them in Python so each timestamp can be localised. All three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Most of the module's own surface is still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suite is forty tests, up from twenty-four, and the growth is the tenant work: the filter contract, the tenant filter itself, ambient inheritance, and the Explorer endpoint with its roster and its permission gate. The export create path, the download route, both permission gates on it, ownership, expiry, the size ceiling and the failure states were already covered. Still untested: the compliance-rule routes, the dashboard, and append-only enforcement.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xml:space="preserve">•  This is a v1.0 baseline, so nothing here is history. Every item above is the current state of the code at b0ae798.</w:t>
            </w:r>
          </w:p>
        </w:tc>
      </w:tr>
    </w:tbl>
    <w:p>
      <w:pPr>
        <w:pStyle w:val="Heading1"/>
        <w:keepNext/>
        <w:pBdr>
          <w:bottom w:val="single" w:sz="14" w:space="5" w:color="355B9D"/>
        </w:pBdr>
      </w:pPr>
      <w:r>
        <w:t xml:space="preserve">10. MRD Traceability</w:t>
      </w:r>
    </w:p>
    <w:p>
      <w:pPr>
        <w:spacing w:after="120"/>
      </w:pPr>
      <w:r>
        <w:t xml:space="preserve">MRD v2.20 records Module 5 as Phase V1, Backend Complete, Integration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Platform-wide only,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Keying is now stable;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Platform visibility is enforced by the permission key, and export history is deliberately platform-wide for the same reason. Tenant visibility is now real on the reading side: every writer records the tenant, tenant_slug narrows the Explorer to one customer and __none__ reaches the platform layer, and the tenant roster is withheld from a caller whose own tenant is not the platform. What is still absent is a tenant-scoped grant: the module can show one school's trail to a platform reader, and cannot yet give a school administrator sight of their own and nothing else. Rows written before 19 August 2026 keep a null tenant and are not backfilled.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MRD RECONCILIATION</w:t>
            </w:r>
          </w:p>
          <w:p>
            <w:pPr>
              <w:keepNext/>
              <w:spacing w:after="40"/>
            </w:pPr>
            <w:r>
              <w:rPr>
                <w:b/>
                <w:color w:val="94670A"/>
                <w:sz w:val="17"/>
              </w:rPr>
              <w:t xml:space="preserve">•  MRD v2.20 lists Module 5 as Backend Complete and Integration Complete with no material capability gap. This FRD does not dispute Complete for the module's stated backend scope: every listed capability has a backend path.</w:t>
            </w:r>
          </w:p>
          <w:p>
            <w:pPr>
              <w:keepNext/>
              <w:spacing w:after="40"/>
            </w:pPr>
            <w:r>
              <w:rPr>
                <w:b/>
                <w:color w:val="94670A"/>
                <w:sz w:val="17"/>
              </w:rPr>
              <w:t xml:space="preserve">•  It recorded three of those twelve capabilities as Partial against their own names. Two are now resolved. "Audit export job creation" could not complete an export past two events, and now completes at any size the storage accepts. "Export-job status and file retrieval" had no retrieval route, and now has one, permissioned and bounded by the requester. "Tenant and platform visibility controls" has since gained its tenant half: the column is populated at every writer and the Explorer narrows to one customer.</w:t>
            </w:r>
          </w:p>
          <w:p>
            <w:pPr>
              <w:keepNext/>
              <w:spacing w:after="40"/>
            </w:pPr>
            <w:r>
              <w:rPr>
                <w:b/>
                <w:color w:val="94670A"/>
                <w:sz w:val="17"/>
              </w:rPr>
              <w:t xml:space="preserve">•  MRD v2.20 has since been issued on that evidence: all three of those entries changed state, and a thirteenth entry was added for the tenant filter, which the table above now carries. The two documents agree; they remain versioned separately and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Audit and Activity Logging Functional Requirements Document v1.0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&amp; Activity Logging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cp:coreProperties>
</file>