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future student and guardian domains. Nothing here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other side of that neutrality is Section 9: nothing yet links a customer to a student.</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fee structure holds fee items as a template. Generation materialises one invoice per selected customer and posts each through the ordinary receivables path, so it raises the usual journal and appears everywhere invoices already do. A structure can also be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second, quieter way for a fee structure to become money owed: generation is the only one, and it uses the same posting service as a hand-raised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Selection of customers is supplied by the caller; the module has no rule about who should be billed, because that rule belongs to a domain it does not know.</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debits bank or cash and credits the receivable control. Allocation across invoices happens afterwards as a sub-ledger act with no further ledger effect, and can be revisited.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Reallocating does not re-post, so correcting which invoice a receipt settles never disturbs the general ledger. Voiding is a separate, permissioned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Document builders turn a posted invoice or payment into a flat context for standalone print templates. Issuer identity comes from the entity's originating school, and the pay-to bank is the entity's primary collection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dunning policy is a ladder of stages keyed to days overdue. Generation scans open invoices and raises a notice at the highest stage each one qualifies for, idempotent per invoice and level. The notice lifecycle runs pending, sent, cancelled or resolved.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never re-issues a reminder already sent at that rung. Dunning is a communications overlay and touches no ledger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Aging, the AR reconciliation against the control account, customer statements, and invoice and payment summaries are served as entity-scoped reads. Historical as-of receivables reconstruct balances at a requested date from dated allocations.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as-of view is reconstructed from dated allocations rather than current state, so a question about last month's position is answered with last month's facts.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Becomes money owed only through generation.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customer's receipt document.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Bulk-raise posted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notices for everything overdue.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 confirmed gateway collection as a payment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ENGINE HAS NOBODY TO BILL YET</w:t>
            </w:r>
          </w:p>
          <w:p w:rsidR="00A62A3E" w:rsidRDefault="00000000">
            <w:pPr>
              <w:spacing w:after="20"/>
              <w:ind w:left="86" w:hanging="86"/>
            </w:pPr>
            <w:r>
              <w:rPr>
                <w:sz w:val="16"/>
              </w:rPr>
              <w:t xml:space="preserve">• The receivable core is domain-neutral by design and complete on its own terms, but nothing yet connects a customer to a student, a guardian, a class, or an academic period.</w:t>
            </w:r>
          </w:p>
          <w:p w:rsidR="00A62A3E" w:rsidRDefault="00000000">
            <w:pPr>
              <w:spacing w:after="20"/>
              <w:ind w:left="86" w:hanging="86"/>
            </w:pPr>
            <w:r>
              <w:rPr>
                <w:sz w:val="16"/>
              </w:rPr>
              <w:t xml:space="preserve">• Until those domains exist, who to bill and what to charge them are decisions made outside the platform and supplied to a bulk generation by hand.</w:t>
            </w:r>
          </w:p>
          <w:p w:rsidR="00A62A3E" w:rsidRDefault="00000000">
            <w:pPr>
              <w:spacing w:after="20"/>
              <w:ind w:left="86" w:hanging="86"/>
            </w:pPr>
            <w:r>
              <w:rPr>
                <w:sz w:val="16"/>
              </w:rPr>
              <w:t xml:space="preserve">• Required completion: connect billing customers and fee assignments to the student, guardian, class and academic-period domains once they exist. Tracked against Modules 11 to 16 and 17.</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xml:space="preserve">• A payment plan measures progress from one linked invoice's settlement, so a payment allocated to a different invoice does not advance the plan.</w:t>
            </w:r>
          </w:p>
          <w:p w:rsidR="00A62A3E" w:rsidRDefault="00000000">
            <w:pPr>
              <w:spacing w:after="20"/>
              <w:ind w:left="86" w:hanging="86"/>
            </w:pPr>
            <w:r>
              <w:rPr>
                <w:sz w:val="16"/>
              </w:rPr>
              <w:t xml:space="preserve">• The module holds no rule about who should be billed, by design. That means a bulk run bills exactly the selection it is given, and a wrong selection is not detectable here.</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17 carries 14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