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M21 | Vendor Management</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v2.9.1 | Module 21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Identity, status, contacts, tax and bank detail, and the field-level policy over the sensitive parts.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 and risk indicators, and the hold flag that blocks new orders and payments.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 vendor's bank and tax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sensitive-field key, on both read and write paths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xml:space="preserve">• Contact, tax and bank fields are protected by field-level RBAC on serialization and on mutation. Hiding a field on read while leaving it writable would be a hole rather than a control, so both directions are gated by the same policy.</w:t>
            </w:r>
          </w:p>
          <w:p w:rsidR="00A62A3E" w:rsidRDefault="00000000">
            <w:pPr>
              <w:spacing w:after="20"/>
              <w:ind w:left="86" w:hanging="86"/>
            </w:pPr>
            <w:r>
              <w:rPr>
                <w:sz w:val="16"/>
              </w:rPr>
              <w:t xml:space="preserve">• Vendor bank detail is the field a fraudster changes, not the one they read. The mutation path is the important half.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Categories must be reorganisable without changing what past documents said.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record must carry what is needed to trade and to pay, with the payable detail protected.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profile carries identity, status, contacts, tax configuration including the withholding-tax code that drives deduction at payment, and bank detail. The sensitive fields are gated by field-level RBAC on both serialization and mutation.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without the sensitive key neither sees nor can change bank detail. The withholding code is part of the vendor record, so a payment cannot silently deduct at a rate nobody configured.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same supplier must not be onboardable twice, even by two people at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supplier under investigation must be stoppable without deleting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vendor carries a hold flag and a KYC status. Both are payment gates the payables service checks before cutting a payment, and the hold also blocks new purchase orders.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is enforced in the payables service rather than only in a screen, so an API caller hits it too. The record survives, so history and open documents remain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should get sensible line defaults without those defaults later rewriting an issued order.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lifecycle transitions must be consistent wherever they are triggered from.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term agreement should be visible as expiring before it expires.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renewals endpoint surfaces the contracts a buyer should chase, and expiry is a modelled transition rather than an absence of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Performance must be recordable as evidence, not as a mutable opinion.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Assessments are point-in-time scorecards, list and create only, with no edit path. Viewing rides the reporting key because it feeds the vendor performance report; recording one needs its own dedicated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realised spend and payment position per vendor, not just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Vendor insight, category insight, catalogue usage insight, the vendor spend analysis and the vendor performance report are served as entity-scoped reads over the AP sub-ledger.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Paying a supplier ahead of their invoice must not read as the supplier owing the entity money.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The MRD still carries this as an open item against Module 21. See Section 9.</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Governs whether the vendor may be selected on new documents.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Blocks new purchase orders and blocks payment, checked in the payables service rather than only in a screen.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second payment gate, independent of the hold flag.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Identity, status, contacts, tax, bank, hold and KYC.</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Sensitive fields gated on read and write.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payables service, not only in the screen.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Reading or writing bank detail without the sensitive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Invites these vendors to quote and defaults requisition lines from this catalogue.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Enforces the hold and KYC gates at payment, applies the withholding code, and owns the advance posting and drawdown described in FR-010.</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and the field-level policy over contacts, tax and bank detail.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THE MRD'S OPEN ITEM AGAINST THIS MODULE APPEARS CLOSED</w:t>
            </w:r>
          </w:p>
          <w:p w:rsidR="00A62A3E" w:rsidRDefault="00000000">
            <w:pPr>
              <w:spacing w:after="20"/>
              <w:ind w:left="86" w:hanging="86"/>
            </w:pPr>
            <w:r>
              <w:rPr>
                <w:sz w:val="16"/>
              </w:rPr>
              <w:t xml:space="preserve">• MRD v2.9.1 still carries ‘complete vendor-prepayment accounting and clearing before advance-payment scenarios are treated as finished’ against Module 21.</w:t>
            </w:r>
          </w:p>
          <w:p w:rsidR="00A62A3E" w:rsidRDefault="00000000">
            <w:pPr>
              <w:spacing w:after="20"/>
              <w:ind w:left="86" w:hanging="86"/>
            </w:pPr>
            <w:r>
              <w:rPr>
                <w:sz w:val="16"/>
              </w:rPr>
              <w:t xml:space="preserve">• The evidence says otherwise: the payment debit is split at source between accounts payable and the vendor-advance asset, applying an advance to a later bill reclassifies it on the later of the two dates, and the drawdown is exposed on the allocation endpoint. The MRD's own v2.7 change log records the drawdown as delivered.</w:t>
            </w:r>
          </w:p>
          <w:p w:rsidR="00A62A3E" w:rsidRDefault="00000000">
            <w:pPr>
              <w:spacing w:after="20"/>
              <w:ind w:left="86" w:hanging="86"/>
            </w:pPr>
            <w:r>
              <w:rPr>
                <w:sz w:val="16"/>
              </w:rPr>
              <w:t xml:space="preserve">• Required completion: clear the item from Module 21 in the next MRD revision, or state what about it remains open. It is recorded here as implemented because that is what the code shows.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21 carries 13 capability entries in MRD v2.9.1.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contacts and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