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21: Vendor Management</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1.1</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M21 | Vendor Management</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1.1</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v2.10 | Module 21</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vs_procurement</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vs_finance, vs_rbac, vs_notifications, vs_audit,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Supplier master data, and why it is not an accounting record</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Snapshots, stable identifiers,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onboard, hold, assess, and see bank detail</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Vendor status, hold, and the contract state machine</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master records and their historical guarantees</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Sourcing, payables, notification, and audit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21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21 is the supplier side of master data: who the platform buys from, what they are allowed to be paid for, what has been agreed with them, and how well they have performed. It raises no journal of its own. Its value is that every purchasing document downstream can rely on one governed record, and that changing that record cannot rewrite history already embedded in documents.</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categories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classification tree, its codes, and category-level insight.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profile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Identity, status, contacts, tax and bank detail, and the field-level policy over the sensitive parts.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Risk and compliance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KYC status and risk indicators, and the hold flag that blocks new orders and payments.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Duplicate control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Refusing a second vendor that is really the same one, race-safely.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Catalogue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Reusable purchasing defaults per item, and realised usage insight.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Contracts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 agreements, their milestones, activation, renewal, termination, expiry, and the renewal chase list.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Assessment and insight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Point-in-time scorecards, vendor spend, and payment-status visibility.</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Requisitions, RFQs, quotations, and award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22, Procurement &amp; Requisitions.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 orders, receipts, bills, and payments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 This module supplies the vendor and the gates; that one moves the money.</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Any accounting entry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Nothing here posts.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24, Inventory &amp; Stock Ledger.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Delivering an invitation or a renewal warning</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Master data has one hard obligation in a system that keeps books: it must be editable without falsifying the past. This module meets it by snapshotting into documents rather than pointing at live values, so a catalogue price change, a category rename, or a deactivation leaves every issued document reading exactly as it did.</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administrator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Onboard and edit vendors, set status, hold and release.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procurement.vendor.create/.update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Category owner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the classification tree.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procurement.category.create, .update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Buyer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catalogue defaults and read vendor insight.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procurement.catalog_item.*, procurement.report.view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Contract manager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 contracts and milestones, activate, renew, terminate, complete a milestone.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procurement.contract.*</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Assessor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 a point-in-time scorecard.</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procurement.vendor_assessment.create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Payments-facing reader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 a vendor's bank and tax detail.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sensitive-field key, on both read and write paths</w:t>
            </w:r>
          </w:p>
        </w:tc>
      </w:tr>
    </w:tbl>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FIELD-LEVEL PROTECTION, ON BOTH PATHS</w:t>
            </w:r>
          </w:p>
          <w:p w:rsidR="00A62A3E" w:rsidRDefault="00000000">
            <w:pPr>
              <w:spacing w:after="20"/>
              <w:ind w:left="86" w:hanging="86"/>
            </w:pPr>
            <w:r>
              <w:rPr>
                <w:sz w:val="16"/>
              </w:rPr>
              <w:t xml:space="preserve">• Contact, tax and bank fields are protected by field-level RBAC on serialization and on mutation. Hiding a field on read while leaving it writable would be a hole rather than a control, so both directions are gated by the same policy.</w:t>
            </w:r>
          </w:p>
          <w:p w:rsidR="00A62A3E" w:rsidRDefault="00000000">
            <w:pPr>
              <w:spacing w:after="20"/>
              <w:ind w:left="86" w:hanging="86"/>
            </w:pPr>
            <w:r>
              <w:rPr>
                <w:sz w:val="16"/>
              </w:rPr>
              <w:t xml:space="preserve">• Vendor bank detail is the field a fraudster changes, not the one they read. The mutation path is the important half.</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Classify Vendors Without Breaking History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Categories must be reorganisable without changing what past documents said.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Category codes and historical category links are treated as stable business identifiers. An update may deactivate master data but does not rewrite snapshots already embedded in purchase documents.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renamed or retired category leaves issued documents reading as they did when issued.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FR-002 Hold Vendor Identity and Its Sensitive Parts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vendor record must carry what is needed to trade and to pay, with the payable detail protected.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profile carries identity, status, contacts, tax configuration including the withholding-tax code that drives deduction at payment, and bank detail. The sensitive fields are gated by field-level RBAC on both serialization and mutation.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caller without the sensitive key neither sees nor can change bank detail. The withholding code is part of the vendor record, so a payment cannot silently deduct at a rate nobody configured.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Refuse a Duplicate Vendor, Race-Safely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same supplier must not be onboardable twice, even by two people at once.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Duplicate detection is enforced by a database constraint as the final guard, with the violation translated into a typed error rather than a 500. The same treatment applies to categories.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race between two simultaneous creates resolves to one vendor and one clear error, because the check is the constraint rather than a prior read.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Detection is on the identifying fields the constraint covers; a supplier entered under a genuinely different name and code is not caught.</w:t>
            </w:r>
          </w:p>
        </w:tc>
      </w:tr>
    </w:tbl>
    <w:p w:rsidR="00A62A3E" w:rsidRDefault="00000000">
      <w:pPr>
        <w:spacing w:after="0"/>
      </w:pPr>
    </w:p>
    <w:p w:rsidR="00A62A3E" w:rsidRDefault="00000000">
      <w:pPr>
        <w:pStyle w:val="Heading2"/>
        <w:keepNext/>
        <w:pBdr>
          <w:bottom w:val="single" w:sz="8" w:space="5" w:color="355B9D"/>
        </w:pBdr>
      </w:pPr>
      <w:r>
        <w:t>FR-004 Block a Vendor From Being Paid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supplier under investigation must be stoppable without deleting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vendor carries a hold flag and a KYC status. Both are payment gates the payables service checks before cutting a payment, and the hold also blocks new purchase orders.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gate is enforced in the payables service rather than only in a screen, so an API caller hits it too. The record survives, so history and open documents remain readable.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Keep Purchasing Defaults Without Freezing Them</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buyer should get sensible line defaults without those defaults later rewriting an issued order.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Catalogue records are reusable defaults, not accounting entries. Historical purchase-order lines retain their own description, unit, tax and price snapshots when a catalogue item changes or is deactivated.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Changing a price affects the next document, never a previous 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Run a Vendor Contract Through One State Machine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Contract lifecycle transitions must be consistent wherever they are triggered from.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Contracts record the commercial envelope, period, value and payment terms, with an optional list of milestones. Activation, renewal, termination and expiry are delegated to the contract service, so the endpoints do not each hold their own version of the rules. Edits change only non-terminal terms and append milestones.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Contract references and completed milestones are historical evidence and are not rewritten. Linked purchase orders are readable from the contract.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overlay has no ledger effect, so a contract's value is a commercial commitment rather than an encumbrance the books enforce.</w:t>
            </w:r>
          </w:p>
        </w:tc>
      </w:tr>
    </w:tbl>
    <w:p w:rsidR="00A62A3E" w:rsidRDefault="00000000">
      <w:pPr>
        <w:spacing w:after="0"/>
      </w:pPr>
    </w:p>
    <w:p w:rsidR="00A62A3E" w:rsidRDefault="00000000">
      <w:pPr>
        <w:pStyle w:val="Heading2"/>
        <w:keepNext/>
        <w:pBdr>
          <w:bottom w:val="single" w:sz="8" w:space="5" w:color="355B9D"/>
        </w:pBdr>
      </w:pPr>
      <w:r>
        <w:t>FR-007 Chase Renewals Before They Lapse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term agreement should be visible as expiring before it expires.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renewals endpoint surfaces the contracts a buyer should chase, and expiry is a modelled transition rather than an absence of 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lapsed contract is recorded as expired rather than silently ceasing to apply.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list must be looked at; nothing pushes a renewal warning on its own schedule from this module.</w:t>
            </w:r>
          </w:p>
        </w:tc>
      </w:tr>
    </w:tbl>
    <w:p w:rsidR="00A62A3E" w:rsidRDefault="00000000">
      <w:pPr>
        <w:spacing w:after="0"/>
      </w:pPr>
    </w:p>
    <w:p w:rsidR="00A62A3E" w:rsidRDefault="00000000">
      <w:pPr>
        <w:pStyle w:val="Heading2"/>
        <w:keepNext/>
        <w:pBdr>
          <w:bottom w:val="single" w:sz="8" w:space="5" w:color="355B9D"/>
        </w:pBdr>
      </w:pPr>
      <w:r>
        <w:t>FR-008 Score a Vendor at a Point in Time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Performance must be recordable as evidence, not as a mutable opinion.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Assessments are point-in-time scorecards, list and create only, with no edit path. Viewing rides the reporting key because it feeds the vendor performance report; recording one needs its own dedicated key.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past assessment cannot be revised to fit a later decision, which is what makes the series meaningful.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FR-009 Show What a Vendor Has Cost and Is Owed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buyer needs realised spend and payment position per vendor, not just documents.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Vendor insight, category insight, catalogue usage insight, the vendor spend analysis and the vendor performance report are served as entity-scoped reads over the AP sub-ledger.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figures come from the sub-ledger the payments actually posted to, so they cannot disagree with the accounts.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Account for Money Paid Before a Bill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Paying a supplier ahead of their invoice must not read as the supplier owing the entity money.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vendor payment's debit is split at source: accounts payable is debited only for what the payment actually settles, and anything paid ahead of a bill lands in the vendor-advance asset. Applying that advance to a later bill reclassifies it, debiting AP and crediting vendor advances, on the later of the two documents' dates.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Debiting AP for the whole gross would put a debit balance on a liability, which reads as suppliers owing the entity. The truth is that the entity is out of pocket and the vendor owes goods, which is an asset, and that is what the split records.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posting and the drawdown live in Module 23's payables service; this module supplies the vendor and its withholding code.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Vendor Status and Hold</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Control</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Effect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Status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Governs whether the vendor may be selected on new documents.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 hold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Blocks new purchase orders and blocks payment, checked in the payables service rather than only in a screen.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KYC status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second payment gate, independent of the hold flag.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Deactivation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Removes the vendor from future selection; documents already issued keep their snapshots.</w:t>
            </w:r>
          </w:p>
        </w:tc>
      </w:tr>
    </w:tbl>
    <w:p w:rsidR="00A62A3E" w:rsidRDefault="00000000">
      <w:pPr>
        <w:pStyle w:val="Heading2"/>
        <w:keepNext/>
        <w:pBdr>
          <w:bottom w:val="single" w:sz="8" w:space="5" w:color="355B9D"/>
        </w:pBdr>
      </w:pPr>
      <w:r>
        <w:t>5.2 Contract Lifecycle</w:t>
      </w:r>
    </w:p>
    <w:tbl>
      <w:tblPr>
        <w:tblW w:w="10468" w:type="dxa"/>
        <w:jc w:val="center"/>
        <w:tblLayout w:type="fixed"/>
        <w:tblLook w:val="04A0" w:firstRow="1" w:lastRow="0" w:firstColumn="1" w:lastColumn="0" w:noHBand="0" w:noVBand="1"/>
      </w:tblPr>
      <w:tblGrid>
        <w:gridCol w:w="2000"/>
        <w:gridCol w:w="4600"/>
        <w:gridCol w:w="38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Entered when</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DRAFT</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Created with its terms and milestones.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ACTIVE.</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ACTIVE</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Activated through the contract service.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RENEWED, TERMINATED, or EXPIRED.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RENEWED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Extended into a new period.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ACTIVE again.</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Ended deliberately before its date.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EXPIRED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Reached its end date without renewal.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VendorCategory</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classification and its code.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Codes and historical links are stable identifiers.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Identity, status, contacts, tax, bank, hold and KYC.</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Sensitive fields gated on read and write.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CatalogItem</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Reusable purchasing defaults.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Snapshotted into document lines, never referenced live.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VendorContract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commercial envelope and terms.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Lifecycle owned by the contract service.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ContractMilestone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deliverable and its completion.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Completed milestones are immutable evidence.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VendorAssessment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point-in-time scorecard.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create only; no edit path.</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/v1/procurement/ and require an asserted entity. The routes below are Module 21's.</w:t>
      </w:r>
    </w:p>
    <w:p w:rsidR="00A62A3E" w:rsidRDefault="00000000">
      <w:pPr>
        <w:pStyle w:val="Heading2"/>
        <w:keepNext/>
        <w:pBdr>
          <w:bottom w:val="single" w:sz="8" w:space="5" w:color="355B9D"/>
        </w:pBdr>
      </w:pPr>
      <w:r>
        <w:t>7.1 Vendors, Categories, and Catalogue</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/categories/, /categories/{id}/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classification tree.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/categories/insights/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Spend and activity by category.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/vendors/, /vendors/{id}/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supplier record.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/vendors/summary/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Counts and status across suppliers.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/vendors/{id}/insights/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Realised spend and payment position.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/catalog-items/, /catalog-items/{id}/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Purchasing defaults.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/catalog-items/{id}/insights/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Realised usage of one item.</w:t>
            </w:r>
          </w:p>
        </w:tc>
      </w:tr>
    </w:tbl>
    <w:p w:rsidR="00A62A3E" w:rsidRDefault="00000000">
      <w:pPr>
        <w:pStyle w:val="Heading2"/>
        <w:keepNext/>
        <w:pBdr>
          <w:bottom w:val="single" w:sz="8" w:space="5" w:color="355B9D"/>
        </w:pBdr>
      </w:pPr>
      <w:r>
        <w:t>7.2 Contracts and Assessments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/contracts/, /contracts/{id}/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 agreements.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/contracts/summary/, /contracts/renewals/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Position, and what to chase.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/contracts/{id}/linked-pos/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Orders raised against a contract.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/contracts/{id}/activate/, /renew/, /terminate/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lifecycle, through the contract service.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/contracts/{id}/milestones/{id}/complete/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Tick off a deliverable.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/vendor-assessments/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and record scorecards.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/reports/vendor-performance/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Performance across suppliers.</w:t>
            </w:r>
          </w:p>
        </w:tc>
      </w:tr>
    </w:tbl>
    <w:p w:rsidR="00A62A3E" w:rsidRDefault="00000000">
      <w:pPr>
        <w:pStyle w:val="Heading2"/>
        <w:keepNext/>
        <w:pBdr>
          <w:bottom w:val="single" w:sz="8" w:space="5" w:color="355B9D"/>
        </w:pBdr>
      </w:pPr>
      <w:r>
        <w:t>7.3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Creating a vendor that duplicates an existing one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database constraint, returned as a typed duplicate error.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Creating a duplicate category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the same way.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Paying a vendor on hold, or failing KYC</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in the payables service, not only in the screen.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Editing a terminal contract term, or a completed milestone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Reading or writing bank detail without the sensitive key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22, Procurement &amp; Requisitions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Invites these vendors to quote and defaults requisition lines from this catalogue.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Enforces the hold and KYC gates at payment, applies the withholding code, and owns the advance posting and drawdown described in FR-010.</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accounts the downstream postings touch and the audit record this module writes into.</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keys and the field-level policy over contacts, tax and bank detail.</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Delivers invitations and renewal correspondence.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seed_procurement_permissions registers the keys.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limitations,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NO MATERIAL CAPABILITY GAP IN SCOPE</w:t>
            </w:r>
          </w:p>
          <w:p w:rsidR="00A62A3E" w:rsidRDefault="00000000">
            <w:pPr>
              <w:spacing w:after="20"/>
              <w:ind w:left="86" w:hanging="86"/>
            </w:pPr>
            <w:r>
              <w:rPr>
                <w:sz w:val="16"/>
              </w:rPr>
              <w:t xml:space="preserve">• Vendor prepayment accounting, which MRD v2.9.1 still carried as an open item against this module, is complete and was cleared in MRD v2.10. The payment debit is split at source, applying an advance to a later bill reclassifies it on the later of the two dates, and a one-time backfill corrects historical prepayments and re-seeds the advance account.</w:t>
            </w:r>
          </w:p>
          <w:p w:rsidR="00A62A3E" w:rsidRDefault="00000000">
            <w:pPr>
              <w:spacing w:after="20"/>
              <w:ind w:left="86" w:hanging="86"/>
            </w:pPr>
            <w:r>
              <w:rPr>
                <w:sz w:val="16"/>
              </w:rPr>
              <w:t xml:space="preserve">• What follows are limitations of the current design rather than missing capability. They are recorded so a reader is not surprised by them, not as work the module is waiting on.</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Duplicate detection is only as wide as the constraint. A supplier entered under a genuinely different name and code is not caught, and nothing reconciles two records that turn out to be one.</w:t>
            </w:r>
          </w:p>
          <w:p w:rsidR="00A62A3E" w:rsidRDefault="00000000">
            <w:pPr>
              <w:spacing w:after="20"/>
              <w:ind w:left="86" w:hanging="86"/>
            </w:pPr>
            <w:r>
              <w:rPr>
                <w:sz w:val="16"/>
              </w:rPr>
              <w:t xml:space="preserve">• The renewals list must be opened to be useful; nothing in this module pushes a warning on a schedule.</w:t>
            </w:r>
          </w:p>
          <w:p w:rsidR="00A62A3E" w:rsidRDefault="00000000">
            <w:pPr>
              <w:spacing w:after="20"/>
              <w:ind w:left="86" w:hanging="86"/>
            </w:pPr>
            <w:r>
              <w:rPr>
                <w:sz w:val="16"/>
              </w:rPr>
              <w:t xml:space="preserve">• A contract's value is a commercial commitment with no ledger effect, so nothing prevents spend beyond it.</w:t>
            </w:r>
          </w:p>
          <w:p w:rsidR="00A62A3E" w:rsidRDefault="00000000">
            <w:pPr>
              <w:spacing w:after="20"/>
              <w:ind w:left="86" w:hanging="86"/>
            </w:pPr>
            <w:r>
              <w:rPr>
                <w:sz w:val="16"/>
              </w:rPr>
              <w:t xml:space="preserve">• Vendor assessments are recorded but nothing requires one before an award, so the scorecard informs rather than gates.</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21 carries 13 capability entries in MRD v2.10.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categories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profile and status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contacts and bank details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KYC and risk indicators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hold controls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Duplicate-vendor detection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catalogue items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Contracts and contract milestones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Contract renewal and termination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 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assessments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spend insights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payment-status visibility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 FR-010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audit history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FR-006</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Recorded that MRD v2.10 cleared the vendor-prepayment item this module had been carrying. FR-010 no longer points at an MRD entry that has gone, and Section 9 states plainly that no material capability gap remains in scope, leaving only the design limitations.</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21, written against the backend at 3ba18f8. Records master data that snapshots into documents rather than being referenced live, field-level protection of bank and tax detail on both read and write, the constraint-backed duplicate guard, the hold and KYC gates enforced in the payables service, the contract state machine, immutable assessments, and the vendor-advance split that the MRD still carries as an open item.</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Vendor Management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Vendor Management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