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v2.13 | Module 24</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vs_schools, vs_rbac,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Valuing an outflow at the current moving average and posting it to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history, valuation and reorder reports.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items, movements, valuation and reorder reports.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procurement.stock.view,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item master records.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procurement.stock.manage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stock to an expense account.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procurement.stock.issue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item must name where its value sits and where its consumption goes.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recorded stock value must equal the general-ledger inventory balance at all times.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 must be reproducible exactly, not approximately.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Receiving stock-tracked goods must raise quantity and value at the purchase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outflow must be valued at what the stock is currently held at, and must reach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values the outflow at the current moving average and posts debit expense, credit inventory through the finance posting service. Availability is checked by the stock service, which owns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beyond what is on hand is refused rather than driving the balance negative. The expense lands on the account the item names.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count that disagrees with the record must be recordable as a signed correction with a ledger consequence.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adjustment is a signed stock-count, shrinkage or write-up correction that posts the value delta between inventory and an adjustment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the position was reached must not be rewritable.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Stock must record where it physically is, so one site cannot spend another's.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measured at the issuing location, so an issue of 500 at a campus holding 300 is refused even when the entity holds 1,000. A movement snapshots its own location's balance, so the history reconstructs one site's position rather than a blend.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site that bought dearer must relieve inventory at its own cost, not at a blend with every other site.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campuses holding the same item at different costs relieve inventory at their own, so each site's expense is right rather than wrong in opposite directions.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with one store must not have to think about locations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entity is provisioned with a default location, and a service call that names none resolves to it. A goods receipt takes its location from the receipt's own branch, so deliveries land where they arrived without being told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single-store entity's calls and responses are unchanged. Once an entity has more than one location, a movement that names none is refused rather than defaulted, because silently drawing from the main store when somebody meant the annex is a quieter version of the bug locations exist to fix.</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campus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the stock is worth and what is running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stock valuation report and a reorder report are served as entity-scoped reads, alongside item summaries and the movement ledger. Both accept a location, which narrows them to that store; without one they report the entity roll-up.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Valuation is read from the maintained value rather than recomputed from the movement history, and the two agree because every movement maintains it. The entity roll-up is what reconciles to the inventory control account; a single location's total does not, and is not meant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Kind, quantity, value, and the running balance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Immutable; corrections are further movements.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item master.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across items.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at the current average.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ledger.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/reports/stock-valuation/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stock is worth.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/reports/stock-reorder/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running out.</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inventory and expense accounts, the period lock and the balance guard. Fixed assets are its responsibility, not this module's.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separately grantable view, manage, issue and adjust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campuses had one balance and one average cost, so an issue at one campus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campuses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Weighted average is the only valuation method. FIFO, LIFO and standard costing are not implemented.</w:t>
            </w:r>
          </w:p>
          <w:p w:rsidR="00A62A3E" w:rsidRDefault="00000000">
            <w:pPr>
              <w:spacing w:after="20"/>
              <w:ind w:left="86" w:hanging="86"/>
            </w:pPr>
            <w:r>
              <w:rPr>
                <w:sz w:val="16"/>
              </w:rPr>
              <w:t xml:space="preserve">• There is no cycle-count or stock-take workflow: an adjustment is a single signed correction, with no counting sheet, no second counter, and no variance approval.</w:t>
            </w:r>
          </w:p>
          <w:p w:rsidR="00A62A3E" w:rsidRDefault="00000000">
            <w:pPr>
              <w:spacing w:after="20"/>
              <w:ind w:left="86" w:hanging="86"/>
            </w:pPr>
            <w:r>
              <w:rPr>
                <w:sz w:val="16"/>
              </w:rPr>
              <w:t xml:space="preserve">• Reorder indicators are reported on demand; nothing raises a reorder or warns on a schedule.</w:t>
            </w:r>
          </w:p>
          <w:p w:rsidR="00A62A3E" w:rsidRDefault="00000000">
            <w:pPr>
              <w:spacing w:after="20"/>
              <w:ind w:left="86" w:hanging="86"/>
            </w:pPr>
            <w:r>
              <w:rPr>
                <w:sz w:val="16"/>
              </w:rPr>
              <w:t xml:space="preserve">• An adjustment needs its own permission but no approval, so a holder of the key can write off a discrepancy alone.</w:t>
            </w:r>
          </w:p>
          <w:p w:rsidR="00A62A3E" w:rsidRDefault="00000000">
            <w:pPr>
              <w:spacing w:after="20"/>
              <w:ind w:left="86" w:hanging="86"/>
            </w:pPr>
            <w:r>
              <w:rPr>
                <w:sz w:val="16"/>
              </w:rPr>
              <w:t xml:space="preserve">•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24 carries 13 capability entries in MRD v2.13.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