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2.7</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2.7</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12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backend codebase at bbff9edbd8863e4b440480cb1120dd59630dcba5 (12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A4EB30C" w14:textId="77777777" w:rsidR="00472341" w:rsidRDefault="00000000">
            <w:pPr>
              <w:spacing w:after="0" w:before="0" w:line="240" w:lineRule="auto"/>
              <w:jc w:val="left"/>
            </w:pPr>
            <w:r>
              <w:rPr>
                <w:rFonts w:ascii="Aptos Narrow" w:hAnsi="Aptos Narrow"/>
                <w:b w:val="0"/>
                <w:color w:val="000000"/>
                <w:sz w:val="17"/>
              </w:rPr>
              <w:t>395</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355B9D"/>
                <w:sz w:val="17"/>
              </w:rPr>
              <w:t>5. v2.5.1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Terminology, organization, metadata, and presentation corrections</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15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15</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18</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14</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4D849F52" w14:textId="77777777" w:rsidR="00472341" w:rsidRDefault="00000000">
            <w:pPr>
              <w:spacing w:after="20"/>
              <w:ind w:left="86" w:hanging="86"/>
            </w:pPr>
            <w:r>
              <w:rPr>
                <w:sz w:val="16"/>
              </w:rPr>
              <w:t>• Fix branch lifecycle transitions: the current save call references a deleted_at field that Branch does not define.</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RBAC and organogram approvers, branching rules, delegations, actions, and operational queues.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gridSpan w:val="2"/>
            <w:shd w:val="clear" w:color="auto" w:fill="FFFFFF"/>
            <w:tcMar>
              <w:top w:w="70" w:type="dxa"/>
              <w:left w:w="90" w:type="dxa"/>
              <w:bottom w:w="70" w:type="dxa"/>
              <w:right w:w="90" w:type="dxa"/>
            </w:tcMar>
            <w:vAlign w:val="center"/>
          </w:tcPr>
          <w:p w14:paraId="206CA97D" w14:textId="77777777" w:rsidR="00472341" w:rsidRDefault="00000000">
            <w:pPr>
              <w:spacing w:after="0"/>
            </w:pPr>
            <w:r>
              <w:rPr>
                <w:color w:val="000000"/>
                <w:sz w:val="16"/>
              </w:rPr>
              <w:t>▸  Conditional routing and branch paths</w:t>
            </w:r>
          </w:p>
        </w:tc>
      </w:tr>
      <w:tr w:rsidR="00472341" w14:paraId="69B5B8B1" w14:textId="77777777">
        <w:trPr>
          <w:cantSplit/>
          <w:jc w:val="center"/>
        </w:trPr>
        <w:tc>
          <w:tcPr>
            <w:tcW w:w="5126" w:type="dxa"/>
            <w:shd w:val="clear" w:color="auto" w:fill="F2F5FA"/>
            <w:tcMar>
              <w:top w:w="70" w:type="dxa"/>
              <w:left w:w="90" w:type="dxa"/>
              <w:bottom w:w="70" w:type="dxa"/>
              <w:right w:w="90" w:type="dxa"/>
            </w:tcMar>
            <w:vAlign w:val="center"/>
          </w:tcPr>
          <w:p w14:paraId="66E0A7AB" w14:textId="77777777" w:rsidR="00472341" w:rsidRDefault="00000000">
            <w:pPr>
              <w:spacing w:after="0"/>
            </w:pPr>
            <w:r>
              <w:rPr>
                <w:color w:val="000000"/>
                <w:sz w:val="16"/>
              </w:rPr>
              <w:t>▸  Any, quorum, and unanimous approval modes</w:t>
            </w:r>
          </w:p>
        </w:tc>
        <w:tc>
          <w:tcPr>
            <w:tcW w:w="5126" w:type="dxa"/>
            <w:gridSpan w:val="2"/>
            <w:shd w:val="clear" w:color="auto" w:fill="F2F5FA"/>
            <w:tcMar>
              <w:top w:w="70" w:type="dxa"/>
              <w:left w:w="90" w:type="dxa"/>
              <w:bottom w:w="70" w:type="dxa"/>
              <w:right w:w="90" w:type="dxa"/>
            </w:tcMar>
            <w:vAlign w:val="center"/>
          </w:tcPr>
          <w:p w14:paraId="538D2AF4" w14:textId="77777777" w:rsidR="00472341" w:rsidRDefault="00000000">
            <w:pPr>
              <w:spacing w:after="0"/>
            </w:pPr>
            <w:r>
              <w:rPr>
                <w:color w:val="000000"/>
                <w:sz w:val="16"/>
              </w:rPr>
              <w:t>▸  RBAC-based approver resolution</w:t>
            </w:r>
          </w:p>
        </w:tc>
      </w:tr>
      <w:tr w:rsidR="00472341" w14:paraId="5C71C30D" w14:textId="77777777">
        <w:trPr>
          <w:cantSplit/>
          <w:jc w:val="center"/>
        </w:trPr>
        <w:tc>
          <w:tcPr>
            <w:tcW w:w="5126" w:type="dxa"/>
            <w:shd w:val="clear" w:color="auto" w:fill="FFFFFF"/>
            <w:tcMar>
              <w:top w:w="70" w:type="dxa"/>
              <w:left w:w="90" w:type="dxa"/>
              <w:bottom w:w="70" w:type="dxa"/>
              <w:right w:w="90" w:type="dxa"/>
            </w:tcMar>
            <w:vAlign w:val="center"/>
          </w:tcPr>
          <w:p w14:paraId="7B7B4746" w14:textId="77777777" w:rsidR="00472341" w:rsidRDefault="00000000">
            <w:pPr>
              <w:spacing w:after="0"/>
            </w:pPr>
            <w:r>
              <w:rPr>
                <w:color w:val="000000"/>
                <w:sz w:val="16"/>
              </w:rPr>
              <w:t>▸  Organogram-based approver resolution</w:t>
            </w:r>
          </w:p>
        </w:tc>
        <w:tc>
          <w:tcPr>
            <w:tcW w:w="5126" w:type="dxa"/>
            <w:gridSpan w:val="2"/>
            <w:shd w:val="clear" w:color="auto" w:fill="FFFFFF"/>
            <w:tcMar>
              <w:top w:w="70" w:type="dxa"/>
              <w:left w:w="90" w:type="dxa"/>
              <w:bottom w:w="70" w:type="dxa"/>
              <w:right w:w="90" w:type="dxa"/>
            </w:tcMar>
            <w:vAlign w:val="center"/>
          </w:tcPr>
          <w:p w14:paraId="436A34A0" w14:textId="77777777" w:rsidR="00472341" w:rsidRDefault="00000000">
            <w:pPr>
              <w:spacing w:after="0"/>
            </w:pPr>
            <w:r>
              <w:rPr>
                <w:color w:val="000000"/>
                <w:sz w:val="16"/>
              </w:rPr>
              <w:t>▸  Entity and branch scope context</w:t>
            </w:r>
          </w:p>
        </w:tc>
      </w:tr>
      <w:tr w:rsidR="00472341" w14:paraId="18D22970" w14:textId="77777777">
        <w:trPr>
          <w:cantSplit/>
          <w:jc w:val="center"/>
        </w:trPr>
        <w:tc>
          <w:tcPr>
            <w:tcW w:w="5126" w:type="dxa"/>
            <w:shd w:val="clear" w:color="auto" w:fill="F2F5FA"/>
            <w:tcMar>
              <w:top w:w="70" w:type="dxa"/>
              <w:left w:w="90" w:type="dxa"/>
              <w:bottom w:w="70" w:type="dxa"/>
              <w:right w:w="90" w:type="dxa"/>
            </w:tcMar>
            <w:vAlign w:val="center"/>
          </w:tcPr>
          <w:p w14:paraId="1354BD44" w14:textId="77777777" w:rsidR="00472341" w:rsidRDefault="00000000">
            <w:pPr>
              <w:spacing w:after="0"/>
            </w:pPr>
            <w:r>
              <w:rPr>
                <w:color w:val="000000"/>
                <w:sz w:val="16"/>
              </w:rPr>
              <w:t>▸  Submit, approve, reject, return, cancel, and resubmit</w:t>
            </w:r>
          </w:p>
        </w:tc>
        <w:tc>
          <w:tcPr>
            <w:tcW w:w="5126" w:type="dxa"/>
            <w:gridSpan w:val="2"/>
            <w:shd w:val="clear" w:color="auto" w:fill="F2F5FA"/>
            <w:tcMar>
              <w:top w:w="70" w:type="dxa"/>
              <w:left w:w="90" w:type="dxa"/>
              <w:bottom w:w="70" w:type="dxa"/>
              <w:right w:w="90" w:type="dxa"/>
            </w:tcMar>
            <w:vAlign w:val="center"/>
          </w:tcPr>
          <w:p w14:paraId="34ED90A0" w14:textId="77777777" w:rsidR="00472341" w:rsidRDefault="00000000">
            <w:pPr>
              <w:spacing w:after="0"/>
            </w:pPr>
            <w:r>
              <w:rPr>
                <w:color w:val="000000"/>
                <w:sz w:val="16"/>
              </w:rPr>
              <w:t>▸  No-approver handling policy</w:t>
            </w:r>
          </w:p>
        </w:tc>
      </w:tr>
      <w:tr w:rsidR="00472341" w14:paraId="27B8C63A" w14:textId="77777777">
        <w:trPr>
          <w:cantSplit/>
          <w:jc w:val="center"/>
        </w:trPr>
        <w:tc>
          <w:tcPr>
            <w:tcW w:w="5126" w:type="dxa"/>
            <w:shd w:val="clear" w:color="auto" w:fill="FFFFFF"/>
            <w:tcMar>
              <w:top w:w="70" w:type="dxa"/>
              <w:left w:w="90" w:type="dxa"/>
              <w:bottom w:w="70" w:type="dxa"/>
              <w:right w:w="90" w:type="dxa"/>
            </w:tcMar>
            <w:vAlign w:val="center"/>
          </w:tcPr>
          <w:p w14:paraId="518C62F6" w14:textId="77777777" w:rsidR="00472341" w:rsidRDefault="00000000">
            <w:pPr>
              <w:spacing w:after="0"/>
            </w:pPr>
            <w:r>
              <w:rPr>
                <w:color w:val="000000"/>
                <w:sz w:val="16"/>
              </w:rPr>
              <w:t>▸  Action reversal and decision history</w:t>
            </w:r>
          </w:p>
        </w:tc>
        <w:tc>
          <w:tcPr>
            <w:tcW w:w="5126" w:type="dxa"/>
            <w:gridSpan w:val="2"/>
            <w:shd w:val="clear" w:color="auto" w:fill="FFFFFF"/>
            <w:tcMar>
              <w:top w:w="70" w:type="dxa"/>
              <w:left w:w="90" w:type="dxa"/>
              <w:bottom w:w="70" w:type="dxa"/>
              <w:right w:w="90" w:type="dxa"/>
            </w:tcMar>
            <w:vAlign w:val="center"/>
          </w:tcPr>
          <w:p w14:paraId="11BD56D4" w14:textId="77777777" w:rsidR="00472341" w:rsidRDefault="00000000">
            <w:pPr>
              <w:spacing w:after="0"/>
            </w:pPr>
            <w:r>
              <w:rPr>
                <w:color w:val="000000"/>
                <w:sz w:val="16"/>
              </w:rPr>
              <w:t>▸  Approval delegation</w:t>
            </w:r>
          </w:p>
        </w:tc>
      </w:tr>
      <w:tr w:rsidR="00472341" w14:paraId="71CF06B7" w14:textId="77777777">
        <w:trPr>
          <w:cantSplit/>
          <w:jc w:val="center"/>
        </w:trPr>
        <w:tc>
          <w:tcPr>
            <w:tcW w:w="5126" w:type="dxa"/>
            <w:shd w:val="clear" w:color="auto" w:fill="F2F5FA"/>
            <w:tcMar>
              <w:top w:w="70" w:type="dxa"/>
              <w:left w:w="90" w:type="dxa"/>
              <w:bottom w:w="70" w:type="dxa"/>
              <w:right w:w="90" w:type="dxa"/>
            </w:tcMar>
            <w:vAlign w:val="center"/>
          </w:tcPr>
          <w:p w14:paraId="76997649" w14:textId="77777777" w:rsidR="00472341" w:rsidRDefault="00000000">
            <w:pPr>
              <w:spacing w:after="0"/>
            </w:pPr>
            <w:r>
              <w:rPr>
                <w:color w:val="000000"/>
                <w:sz w:val="16"/>
              </w:rPr>
              <w:t>▸  Pending, submitted, and team-load dashboards</w:t>
            </w:r>
          </w:p>
        </w:tc>
        <w:tc>
          <w:tcPr>
            <w:tcW w:w="5126" w:type="dxa"/>
            <w:gridSpan w:val="2"/>
            <w:shd w:val="clear" w:color="auto" w:fill="F2F5FA"/>
            <w:tcMar>
              <w:top w:w="70" w:type="dxa"/>
              <w:left w:w="90" w:type="dxa"/>
              <w:bottom w:w="70" w:type="dxa"/>
              <w:right w:w="90" w:type="dxa"/>
            </w:tcMar>
            <w:vAlign w:val="center"/>
          </w:tcPr>
          <w:p w14:paraId="785BB8D7" w14:textId="77777777" w:rsidR="00472341" w:rsidRDefault="00000000">
            <w:pPr>
              <w:spacing w:after="0"/>
            </w:pPr>
            <w:r>
              <w:rPr>
                <w:color w:val="000000"/>
                <w:sz w:val="16"/>
              </w:rPr>
              <w:t>▸  Workflow notifications</w:t>
            </w:r>
          </w:p>
        </w:tc>
      </w:tr>
      <w:tr w:rsidR="00472341" w14:paraId="413474F3" w14:textId="77777777">
        <w:trPr>
          <w:cantSplit/>
          <w:jc w:val="center"/>
        </w:trPr>
        <w:tc>
          <w:tcPr>
            <w:tcW w:w="5126" w:type="dxa"/>
            <w:shd w:val="clear" w:color="auto" w:fill="FFFFFF"/>
            <w:tcMar>
              <w:top w:w="70" w:type="dxa"/>
              <w:left w:w="90" w:type="dxa"/>
              <w:bottom w:w="70" w:type="dxa"/>
              <w:right w:w="90" w:type="dxa"/>
            </w:tcMar>
            <w:vAlign w:val="center"/>
          </w:tcPr>
          <w:p w14:paraId="2E418900" w14:textId="77777777" w:rsidR="00472341" w:rsidRDefault="00000000">
            <w:pPr>
              <w:spacing w:after="0"/>
            </w:pPr>
            <w:r>
              <w:rPr>
                <w:color w:val="000000"/>
                <w:sz w:val="16"/>
              </w:rPr>
              <w:t>▸  Finance workflow handlers</w:t>
            </w:r>
          </w:p>
        </w:tc>
        <w:tc>
          <w:tcPr>
            <w:tcW w:w="5126" w:type="dxa"/>
            <w:gridSpan w:val="2"/>
            <w:shd w:val="clear" w:color="auto" w:fill="FFFFFF"/>
            <w:tcMar>
              <w:top w:w="70" w:type="dxa"/>
              <w:left w:w="90" w:type="dxa"/>
              <w:bottom w:w="70" w:type="dxa"/>
              <w:right w:w="90" w:type="dxa"/>
            </w:tcMar>
            <w:vAlign w:val="center"/>
          </w:tcPr>
          <w:p w14:paraId="23319BD8" w14:textId="77777777" w:rsidR="00472341" w:rsidRDefault="00000000">
            <w:pPr>
              <w:spacing w:after="0"/>
            </w:pPr>
            <w:r>
              <w:rPr>
                <w:color w:val="000000"/>
                <w:sz w:val="16"/>
              </w:rPr>
              <w:t>▸  Procurement workflow handlers</w:t>
            </w:r>
          </w:p>
        </w:tc>
      </w:tr>
      <w:tr w:rsidR="00472341" w14:paraId="37FDD677" w14:textId="77777777">
        <w:trPr>
          <w:cantSplit/>
          <w:jc w:val="center"/>
        </w:trPr>
        <w:tc>
          <w:tcPr>
            <w:tcW w:w="5126" w:type="dxa"/>
            <w:shd w:val="clear" w:color="auto" w:fill="F2F5FA"/>
            <w:tcMar>
              <w:top w:w="70" w:type="dxa"/>
              <w:left w:w="90" w:type="dxa"/>
              <w:bottom w:w="70" w:type="dxa"/>
              <w:right w:w="90" w:type="dxa"/>
            </w:tcMar>
            <w:vAlign w:val="center"/>
          </w:tcPr>
          <w:p w14:paraId="1477730F" w14:textId="77777777" w:rsidR="00472341" w:rsidRDefault="00000000">
            <w:pPr>
              <w:spacing w:after="0"/>
            </w:pPr>
            <w:r>
              <w:rPr>
                <w:color w:val="000000"/>
                <w:sz w:val="16"/>
              </w:rPr>
              <w:t>▸  Payment and payout workflow handlers</w:t>
            </w:r>
          </w:p>
        </w:tc>
        <w:tc>
          <w:tcPr>
            <w:tcW w:w="5126" w:type="dxa"/>
            <w:gridSpan w:val="2"/>
            <w:shd w:val="clear" w:color="auto" w:fill="F2F5FA"/>
            <w:tcMar>
              <w:top w:w="70" w:type="dxa"/>
              <w:left w:w="90" w:type="dxa"/>
              <w:bottom w:w="70" w:type="dxa"/>
              <w:right w:w="90" w:type="dxa"/>
            </w:tcMar>
            <w:vAlign w:val="center"/>
          </w:tcPr>
          <w:p w14:paraId="4585C5B0" w14:textId="77777777" w:rsidR="00472341" w:rsidRDefault="00472341">
            <w:pPr>
              <w:spacing w:after="0"/>
            </w:pP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Seed and validate payout-batch approval templates during school onboarding.</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Review procurement templates that currently skip stages when no approvers resolve; approval should fail closed for controlled spend.</w:t>
            </w:r>
          </w:p>
          <w:p w14:paraId="502C2918" w14:textId="77777777" w:rsidR="00472341" w:rsidRDefault="00000000">
            <w:pPr>
              <w:spacing w:after="20"/>
              <w:ind w:left="86" w:hanging="86"/>
            </w:pPr>
            <w:r>
              <w:rPr>
                <w:sz w:val="16"/>
              </w:rPr>
              <w:t>• Make default approval templates school and branch aware, then seed them during onboarding.</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44FFB06" w14:textId="77777777">
        <w:trPr>
          <w:cantSplit/>
          <w:jc w:val="center"/>
        </w:trPr>
        <w:tc>
          <w:tcPr>
            <w:tcW w:w="605" w:type="dxa"/>
            <w:shd w:val="clear" w:color="auto" w:fill="FBF1D7"/>
            <w:tcMar>
              <w:top w:w="70" w:type="dxa"/>
              <w:left w:w="90" w:type="dxa"/>
              <w:bottom w:w="70" w:type="dxa"/>
              <w:right w:w="90" w:type="dxa"/>
            </w:tcMar>
            <w:vAlign w:val="center"/>
          </w:tcPr>
          <w:p w14:paraId="65BF5D9B"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7976FFC3" w14:textId="77777777" w:rsidR="00472341" w:rsidRDefault="00000000">
            <w:pPr>
              <w:spacing w:after="0"/>
            </w:pPr>
            <w:r>
              <w:rPr>
                <w:b/>
                <w:color w:val="2E5495"/>
                <w:sz w:val="15"/>
              </w:rPr>
              <w:t>Branch transition defect</w:t>
            </w:r>
          </w:p>
        </w:tc>
        <w:tc>
          <w:tcPr>
            <w:tcW w:w="6091" w:type="dxa"/>
            <w:shd w:val="clear" w:color="auto" w:fill="FBF1D7"/>
            <w:tcMar>
              <w:top w:w="70" w:type="dxa"/>
              <w:left w:w="90" w:type="dxa"/>
              <w:bottom w:w="70" w:type="dxa"/>
              <w:right w:w="90" w:type="dxa"/>
            </w:tcMar>
            <w:vAlign w:val="center"/>
          </w:tcPr>
          <w:p w14:paraId="653ED0BA" w14:textId="77777777" w:rsidR="00472341" w:rsidRDefault="00000000">
            <w:pPr>
              <w:spacing w:after="0"/>
            </w:pPr>
            <w:r>
              <w:rPr>
                <w:color w:val="000000"/>
                <w:sz w:val="15"/>
              </w:rPr>
              <w:t>Remove the invalid deleted_at update or add a deliberate soft-delete model, then cover all transition paths.</w:t>
            </w:r>
          </w:p>
        </w:tc>
        <w:tc>
          <w:tcPr>
            <w:tcW w:w="1325" w:type="dxa"/>
            <w:shd w:val="clear" w:color="auto" w:fill="FBF1D7"/>
            <w:tcMar>
              <w:top w:w="70" w:type="dxa"/>
              <w:left w:w="90" w:type="dxa"/>
              <w:bottom w:w="70" w:type="dxa"/>
              <w:right w:w="90" w:type="dxa"/>
            </w:tcMar>
            <w:vAlign w:val="center"/>
          </w:tcPr>
          <w:p w14:paraId="35DA5732" w14:textId="77777777" w:rsidR="00472341" w:rsidRDefault="00000000">
            <w:pPr>
              <w:spacing w:after="0"/>
              <w:jc w:val="center"/>
            </w:pPr>
            <w:r>
              <w:rPr>
                <w:color w:val="000000"/>
                <w:sz w:val="15"/>
              </w:rPr>
              <w:t>M1</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77261CFA" w14:textId="77777777">
        <w:trPr>
          <w:cantSplit/>
          <w:jc w:val="center"/>
        </w:trPr>
        <w:tc>
          <w:tcPr>
            <w:tcW w:w="605" w:type="dxa"/>
            <w:shd w:val="clear" w:color="auto" w:fill="FBF1D7"/>
            <w:tcMar>
              <w:top w:w="70" w:type="dxa"/>
              <w:left w:w="90" w:type="dxa"/>
              <w:bottom w:w="70" w:type="dxa"/>
              <w:right w:w="90" w:type="dxa"/>
            </w:tcMar>
            <w:vAlign w:val="center"/>
          </w:tcPr>
          <w:p w14:paraId="1A43E3DF"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89B243" w14:textId="77777777" w:rsidR="00472341" w:rsidRDefault="00000000">
            <w:pPr>
              <w:spacing w:after="0"/>
            </w:pPr>
            <w:r>
              <w:rPr>
                <w:b/>
                <w:color w:val="2E5495"/>
                <w:sz w:val="15"/>
              </w:rPr>
              <w:t>Procurement approval fail-closed behavior</w:t>
            </w:r>
          </w:p>
        </w:tc>
        <w:tc>
          <w:tcPr>
            <w:tcW w:w="6091" w:type="dxa"/>
            <w:shd w:val="clear" w:color="auto" w:fill="FBF1D7"/>
            <w:tcMar>
              <w:top w:w="70" w:type="dxa"/>
              <w:left w:w="90" w:type="dxa"/>
              <w:bottom w:w="70" w:type="dxa"/>
              <w:right w:w="90" w:type="dxa"/>
            </w:tcMar>
            <w:vAlign w:val="center"/>
          </w:tcPr>
          <w:p w14:paraId="72887C6B" w14:textId="77777777" w:rsidR="00472341" w:rsidRDefault="00000000">
            <w:pPr>
              <w:spacing w:after="0"/>
            </w:pPr>
            <w:r>
              <w:rPr>
                <w:color w:val="000000"/>
                <w:sz w:val="15"/>
              </w:rPr>
              <w:t>Do not silently skip controlled-spend approval when no approver resolves. Make templates tenant and branch aware.</w:t>
            </w:r>
          </w:p>
        </w:tc>
        <w:tc>
          <w:tcPr>
            <w:tcW w:w="1325" w:type="dxa"/>
            <w:shd w:val="clear" w:color="auto" w:fill="FBF1D7"/>
            <w:tcMar>
              <w:top w:w="70" w:type="dxa"/>
              <w:left w:w="90" w:type="dxa"/>
              <w:bottom w:w="70" w:type="dxa"/>
              <w:right w:w="90" w:type="dxa"/>
            </w:tcMar>
            <w:vAlign w:val="center"/>
          </w:tcPr>
          <w:p w14:paraId="791A0B08" w14:textId="77777777" w:rsidR="00472341" w:rsidRDefault="00000000">
            <w:pPr>
              <w:spacing w:after="0"/>
              <w:jc w:val="center"/>
            </w:pPr>
            <w:r>
              <w:rPr>
                <w:color w:val="000000"/>
                <w:sz w:val="15"/>
              </w:rPr>
              <w:t>M7, M22, M23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FFFFF"/>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FFFFF"/>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FFFFF"/>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2F5FA"/>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2F5FA"/>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2F5FA"/>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v2.5.1 Documentation Delta</w:t>
      </w:r>
    </w:p>
    <w:p w14:paraId="4C4A5E5A" w14:textId="77777777" w:rsidR="00472341" w:rsidRDefault="00000000">
      <w:pPr>
        <w:spacing w:after="100" w:line="240" w:lineRule="auto" w:before="0"/>
      </w:pPr>
      <w:r>
        <w:rPr>
          <w:rFonts w:ascii="Aptos Narrow" w:hAnsi="Aptos Narrow"/>
          <w:b w:val="0"/>
          <w:color w:val="000000"/>
          <w:sz w:val="18"/>
        </w:rPr>
        <w:t>This patch changes documentation terminology, organization, metadata, and layout only. It does not change module statuses, capability counts, priority gaps, or the recommended build order established in v2.5.</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671"/>
        <w:gridCol w:w="1728"/>
        <w:gridCol w:w="5068"/>
      </w:tblGrid>
      <w:tr w:rsidR="00472341" w14:paraId="1C466A26" w14:textId="77777777">
        <w:trPr>
          <w:tblHeader/>
          <w:jc w:val="center"/>
          <w:tblHeader w:val="true"/>
        </w:trPr>
        <w:tc>
          <w:tcPr>
            <w:tcW w:w="3672"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5C12739E" w14:textId="77777777" w:rsidR="00472341" w:rsidRDefault="00000000">
            <w:pPr>
              <w:spacing w:after="0" w:before="0" w:line="240" w:lineRule="auto"/>
              <w:jc w:val="left"/>
            </w:pPr>
            <w:r>
              <w:rPr>
                <w:rFonts w:ascii="Aptos Narrow" w:hAnsi="Aptos Narrow"/>
                <w:b/>
                <w:color w:val="FFFFFF"/>
                <w:sz w:val="17"/>
              </w:rPr>
              <w:t>v2.5.1 documentation delta</w:t>
            </w:r>
          </w:p>
        </w:tc>
        <w:tc>
          <w:tcPr>
            <w:tcW w:w="172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4AEA54D5" w14:textId="77777777" w:rsidR="00472341" w:rsidRDefault="00000000">
            <w:pPr>
              <w:spacing w:after="0" w:before="0" w:line="240" w:lineRule="auto"/>
              <w:jc w:val="left"/>
            </w:pPr>
            <w:r>
              <w:rPr>
                <w:rFonts w:ascii="Aptos Narrow" w:hAnsi="Aptos Narrow"/>
                <w:b/>
                <w:color w:val="FFFFFF"/>
                <w:sz w:val="17"/>
              </w:rPr>
              <w:t>Decision</w:t>
            </w:r>
          </w:p>
        </w:tc>
        <w:tc>
          <w:tcPr>
            <w:tcW w:w="5069"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1AC54074" w14:textId="77777777" w:rsidR="00472341" w:rsidRDefault="00000000">
            <w:pPr>
              <w:spacing w:after="0" w:before="0" w:line="240" w:lineRule="auto"/>
              <w:jc w:val="left"/>
            </w:pPr>
            <w:r>
              <w:rPr>
                <w:rFonts w:ascii="Aptos Narrow" w:hAnsi="Aptos Narrow"/>
                <w:b/>
                <w:color w:val="FFFFFF"/>
                <w:sz w:val="17"/>
              </w:rPr>
              <w:t>Evidence</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 family terminology</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cross-module tracker is now the Module Requirements Document (MRD); detailed module documents remain Functional Requirements Documents (FRDs).</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Requirements folder structure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Separated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MRD versions and module-level FRD versions are stored in distinct document families while historical files remain preserved.</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Metadata and headers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Cover, document control, core properties, odd and even headers, version labels, and source baseline now agree.</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Change-log layout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Repaired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table is constrained to the A4 content width and no longer clips outside the page.</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tcMar>
            <w:vAlign w:val="center"/>
          </w:tcPr>
          <w:p w14:paraId="75F555DE" w14:textId="77777777" w:rsidR="00472341" w:rsidRDefault="00000000">
            <w:pPr>
              <w:spacing w:after="0"/>
            </w:pPr>
            <w:r>
              <w:rPr>
                <w:color w:val="000000"/>
                <w:sz w:val="17"/>
              </w:rPr>
              <w:t>Fix branch transitions, add safe school lifecycle controls, require privileged MFA, and make procurement approval fail closed.</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Validate payout approvals.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seed tenant-specific workflow templates and defaults.</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v2.5.1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v2.5.1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2.5.1</cp:version>
</cp:coreProperties>
</file>