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 xml:space="preserve">Prepared by:  </w:t>
            </w:r>
            <w:r>
              <w:rPr>
                <w:color w:val="FFFFFF"/>
                <w:sz w:val="20"/>
                <w:szCs w:val="20"/>
              </w:rPr>
              <w:t xml:space="preserve">CodeX Team        </w:t>
            </w:r>
            <w:r>
              <w:rPr>
                <w:b/>
                <w:bCs/>
                <w:color w:val="DCE6F8"/>
                <w:sz w:val="20"/>
                <w:szCs w:val="20"/>
              </w:rPr>
              <w:t xml:space="preserve">Version:  </w:t>
            </w:r>
            <w:r>
              <w:rPr>
                <w:color w:val="FFFFFF"/>
                <w:sz w:val="20"/>
                <w:szCs w:val="20"/>
              </w:rPr>
              <w:t>2.8</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2.8</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12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Current backend codebase at 355c59b665fd27d4c47152fa9638093b2e95dc49 plus uncommitted Branch lifecycle work (12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A4EB30C" w14:textId="77777777" w:rsidR="00472341" w:rsidRDefault="00000000">
            <w:pPr>
              <w:spacing w:after="0" w:before="0" w:line="240" w:lineRule="auto"/>
              <w:jc w:val="left"/>
            </w:pPr>
            <w:r>
              <w:rPr>
                <w:rFonts w:ascii="Aptos Narrow" w:hAnsi="Aptos Narrow"/>
                <w:b w:val="0"/>
                <w:color w:val="000000"/>
                <w:sz w:val="17"/>
              </w:rPr>
              <w:t>395</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355B9D"/>
                <w:sz w:val="18"/>
              </w:rPr>
              <w:t>5. v2.8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Evidence corrected in this revision</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vs_admin_console, vs_user, vs_rbac, vs_audit, vs_config, vs_notifications, vs_import_data, vs_workflow, vs_finance, vs_procurement, vs_payments, vs_exports, vs_todo, vs_tickets, and vs_health.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14</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14</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12</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15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14</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8</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15</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18</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12</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14</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12</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12</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18EEAC2" w14:textId="77777777" w:rsidR="00472341" w:rsidRDefault="00000000">
            <w:pPr>
              <w:spacing w:after="0"/>
              <w:jc w:val="center"/>
            </w:pPr>
            <w:r>
              <w:rPr>
                <w:color w:val="000000"/>
                <w:sz w:val="14"/>
              </w:rPr>
              <w:t>10</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campus administration. The current backend supports creation, listing, editing, statistics, package setup, primary administrators, and branch lifecycle operations.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Add school suspend, reactivate, and recoverable soft-delete operations with access and session effects.</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Authentication, invitations, account security, sessions, platform staff, and organization-position structures.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sz w:val="16"/>
              </w:rPr>
              <w:t>• No material capability gap was identified within this module's stated backend scope.</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RBAC and organogram approvers, branching rules, delegations, actions, and operational queues.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gridSpan w:val="2"/>
            <w:shd w:val="clear" w:color="auto" w:fill="FFFFFF"/>
            <w:tcMar>
              <w:top w:w="70" w:type="dxa"/>
              <w:left w:w="90" w:type="dxa"/>
              <w:bottom w:w="70" w:type="dxa"/>
              <w:right w:w="90" w:type="dxa"/>
            </w:tcMar>
            <w:vAlign w:val="center"/>
          </w:tcPr>
          <w:p w14:paraId="206CA97D" w14:textId="77777777" w:rsidR="00472341" w:rsidRDefault="00000000">
            <w:pPr>
              <w:spacing w:after="0"/>
            </w:pPr>
            <w:r>
              <w:rPr>
                <w:color w:val="000000"/>
                <w:sz w:val="16"/>
              </w:rPr>
              <w:t>▸  Conditional routing and branch paths</w:t>
            </w:r>
          </w:p>
        </w:tc>
      </w:tr>
      <w:tr w:rsidR="00472341" w14:paraId="69B5B8B1" w14:textId="77777777">
        <w:trPr>
          <w:cantSplit/>
          <w:jc w:val="center"/>
        </w:trPr>
        <w:tc>
          <w:tcPr>
            <w:tcW w:w="5126" w:type="dxa"/>
            <w:shd w:val="clear" w:color="auto" w:fill="F2F5FA"/>
            <w:tcMar>
              <w:top w:w="70" w:type="dxa"/>
              <w:left w:w="90" w:type="dxa"/>
              <w:bottom w:w="70" w:type="dxa"/>
              <w:right w:w="90" w:type="dxa"/>
            </w:tcMar>
            <w:vAlign w:val="center"/>
          </w:tcPr>
          <w:p w14:paraId="66E0A7AB" w14:textId="77777777" w:rsidR="00472341" w:rsidRDefault="00000000">
            <w:pPr>
              <w:spacing w:after="0"/>
            </w:pPr>
            <w:r>
              <w:rPr>
                <w:color w:val="000000"/>
                <w:sz w:val="16"/>
              </w:rPr>
              <w:t>▸  Any, quorum, and unanimous approval modes</w:t>
            </w:r>
          </w:p>
        </w:tc>
        <w:tc>
          <w:tcPr>
            <w:tcW w:w="5126" w:type="dxa"/>
            <w:gridSpan w:val="2"/>
            <w:shd w:val="clear" w:color="auto" w:fill="F2F5FA"/>
            <w:tcMar>
              <w:top w:w="70" w:type="dxa"/>
              <w:left w:w="90" w:type="dxa"/>
              <w:bottom w:w="70" w:type="dxa"/>
              <w:right w:w="90" w:type="dxa"/>
            </w:tcMar>
            <w:vAlign w:val="center"/>
          </w:tcPr>
          <w:p w14:paraId="538D2AF4" w14:textId="77777777" w:rsidR="00472341" w:rsidRDefault="00000000">
            <w:pPr>
              <w:spacing w:after="0"/>
            </w:pPr>
            <w:r>
              <w:rPr>
                <w:color w:val="000000"/>
                <w:sz w:val="16"/>
              </w:rPr>
              <w:t>▸  RBAC-based approver resolution</w:t>
            </w:r>
          </w:p>
        </w:tc>
      </w:tr>
      <w:tr w:rsidR="00472341" w14:paraId="5C71C30D" w14:textId="77777777">
        <w:trPr>
          <w:cantSplit/>
          <w:jc w:val="center"/>
        </w:trPr>
        <w:tc>
          <w:tcPr>
            <w:tcW w:w="5126" w:type="dxa"/>
            <w:shd w:val="clear" w:color="auto" w:fill="FFFFFF"/>
            <w:tcMar>
              <w:top w:w="70" w:type="dxa"/>
              <w:left w:w="90" w:type="dxa"/>
              <w:bottom w:w="70" w:type="dxa"/>
              <w:right w:w="90" w:type="dxa"/>
            </w:tcMar>
            <w:vAlign w:val="center"/>
          </w:tcPr>
          <w:p w14:paraId="7B7B4746" w14:textId="77777777" w:rsidR="00472341" w:rsidRDefault="00000000">
            <w:pPr>
              <w:spacing w:after="0"/>
            </w:pPr>
            <w:r>
              <w:rPr>
                <w:color w:val="000000"/>
                <w:sz w:val="16"/>
              </w:rPr>
              <w:t>▸  Organogram-based approver resolution</w:t>
            </w:r>
          </w:p>
        </w:tc>
        <w:tc>
          <w:tcPr>
            <w:tcW w:w="5126" w:type="dxa"/>
            <w:gridSpan w:val="2"/>
            <w:shd w:val="clear" w:color="auto" w:fill="FFFFFF"/>
            <w:tcMar>
              <w:top w:w="70" w:type="dxa"/>
              <w:left w:w="90" w:type="dxa"/>
              <w:bottom w:w="70" w:type="dxa"/>
              <w:right w:w="90" w:type="dxa"/>
            </w:tcMar>
            <w:vAlign w:val="center"/>
          </w:tcPr>
          <w:p w14:paraId="436A34A0" w14:textId="77777777" w:rsidR="00472341" w:rsidRDefault="00000000">
            <w:pPr>
              <w:spacing w:after="0"/>
            </w:pPr>
            <w:r>
              <w:rPr>
                <w:color w:val="000000"/>
                <w:sz w:val="16"/>
              </w:rPr>
              <w:t>▸  Entity and branch scope context</w:t>
            </w:r>
          </w:p>
        </w:tc>
      </w:tr>
      <w:tr w:rsidR="00472341" w14:paraId="18D22970" w14:textId="77777777">
        <w:trPr>
          <w:cantSplit/>
          <w:jc w:val="center"/>
        </w:trPr>
        <w:tc>
          <w:tcPr>
            <w:tcW w:w="5126" w:type="dxa"/>
            <w:shd w:val="clear" w:color="auto" w:fill="F2F5FA"/>
            <w:tcMar>
              <w:top w:w="70" w:type="dxa"/>
              <w:left w:w="90" w:type="dxa"/>
              <w:bottom w:w="70" w:type="dxa"/>
              <w:right w:w="90" w:type="dxa"/>
            </w:tcMar>
            <w:vAlign w:val="center"/>
          </w:tcPr>
          <w:p w14:paraId="1354BD44" w14:textId="77777777" w:rsidR="00472341" w:rsidRDefault="00000000">
            <w:pPr>
              <w:spacing w:after="0"/>
            </w:pPr>
            <w:r>
              <w:rPr>
                <w:color w:val="000000"/>
                <w:sz w:val="16"/>
              </w:rPr>
              <w:t>▸  Submit, approve, reject, return, cancel, and resubmit</w:t>
            </w:r>
          </w:p>
        </w:tc>
        <w:tc>
          <w:tcPr>
            <w:tcW w:w="5126" w:type="dxa"/>
            <w:gridSpan w:val="2"/>
            <w:shd w:val="clear" w:color="auto" w:fill="F2F5FA"/>
            <w:tcMar>
              <w:top w:w="70" w:type="dxa"/>
              <w:left w:w="90" w:type="dxa"/>
              <w:bottom w:w="70" w:type="dxa"/>
              <w:right w:w="90" w:type="dxa"/>
            </w:tcMar>
            <w:vAlign w:val="center"/>
          </w:tcPr>
          <w:p w14:paraId="34ED90A0" w14:textId="77777777" w:rsidR="00472341" w:rsidRDefault="00000000">
            <w:pPr>
              <w:spacing w:after="0"/>
            </w:pPr>
            <w:r>
              <w:rPr>
                <w:color w:val="000000"/>
                <w:sz w:val="16"/>
              </w:rPr>
              <w:t>▸  No-approver handling policy</w:t>
            </w:r>
          </w:p>
        </w:tc>
      </w:tr>
      <w:tr w:rsidR="00472341" w14:paraId="27B8C63A" w14:textId="77777777">
        <w:trPr>
          <w:cantSplit/>
          <w:jc w:val="center"/>
        </w:trPr>
        <w:tc>
          <w:tcPr>
            <w:tcW w:w="5126" w:type="dxa"/>
            <w:shd w:val="clear" w:color="auto" w:fill="FFFFFF"/>
            <w:tcMar>
              <w:top w:w="70" w:type="dxa"/>
              <w:left w:w="90" w:type="dxa"/>
              <w:bottom w:w="70" w:type="dxa"/>
              <w:right w:w="90" w:type="dxa"/>
            </w:tcMar>
            <w:vAlign w:val="center"/>
          </w:tcPr>
          <w:p w14:paraId="518C62F6" w14:textId="77777777" w:rsidR="00472341" w:rsidRDefault="00000000">
            <w:pPr>
              <w:spacing w:after="0"/>
            </w:pPr>
            <w:r>
              <w:rPr>
                <w:color w:val="000000"/>
                <w:sz w:val="16"/>
              </w:rPr>
              <w:t>▸  Action reversal and decision history</w:t>
            </w:r>
          </w:p>
        </w:tc>
        <w:tc>
          <w:tcPr>
            <w:tcW w:w="5126" w:type="dxa"/>
            <w:gridSpan w:val="2"/>
            <w:shd w:val="clear" w:color="auto" w:fill="FFFFFF"/>
            <w:tcMar>
              <w:top w:w="70" w:type="dxa"/>
              <w:left w:w="90" w:type="dxa"/>
              <w:bottom w:w="70" w:type="dxa"/>
              <w:right w:w="90" w:type="dxa"/>
            </w:tcMar>
            <w:vAlign w:val="center"/>
          </w:tcPr>
          <w:p w14:paraId="11BD56D4" w14:textId="77777777" w:rsidR="00472341" w:rsidRDefault="00000000">
            <w:pPr>
              <w:spacing w:after="0"/>
            </w:pPr>
            <w:r>
              <w:rPr>
                <w:color w:val="000000"/>
                <w:sz w:val="16"/>
              </w:rPr>
              <w:t>▸  Approval delegation</w:t>
            </w:r>
          </w:p>
        </w:tc>
      </w:tr>
      <w:tr w:rsidR="00472341" w14:paraId="71CF06B7" w14:textId="77777777">
        <w:trPr>
          <w:cantSplit/>
          <w:jc w:val="center"/>
        </w:trPr>
        <w:tc>
          <w:tcPr>
            <w:tcW w:w="5126" w:type="dxa"/>
            <w:shd w:val="clear" w:color="auto" w:fill="F2F5FA"/>
            <w:tcMar>
              <w:top w:w="70" w:type="dxa"/>
              <w:left w:w="90" w:type="dxa"/>
              <w:bottom w:w="70" w:type="dxa"/>
              <w:right w:w="90" w:type="dxa"/>
            </w:tcMar>
            <w:vAlign w:val="center"/>
          </w:tcPr>
          <w:p w14:paraId="76997649" w14:textId="77777777" w:rsidR="00472341" w:rsidRDefault="00000000">
            <w:pPr>
              <w:spacing w:after="0"/>
            </w:pPr>
            <w:r>
              <w:rPr>
                <w:color w:val="000000"/>
                <w:sz w:val="16"/>
              </w:rPr>
              <w:t>▸  Pending, submitted, and team-load dashboards</w:t>
            </w:r>
          </w:p>
        </w:tc>
        <w:tc>
          <w:tcPr>
            <w:tcW w:w="5126" w:type="dxa"/>
            <w:gridSpan w:val="2"/>
            <w:shd w:val="clear" w:color="auto" w:fill="F2F5FA"/>
            <w:tcMar>
              <w:top w:w="70" w:type="dxa"/>
              <w:left w:w="90" w:type="dxa"/>
              <w:bottom w:w="70" w:type="dxa"/>
              <w:right w:w="90" w:type="dxa"/>
            </w:tcMar>
            <w:vAlign w:val="center"/>
          </w:tcPr>
          <w:p w14:paraId="785BB8D7" w14:textId="77777777" w:rsidR="00472341" w:rsidRDefault="00000000">
            <w:pPr>
              <w:spacing w:after="0"/>
            </w:pPr>
            <w:r>
              <w:rPr>
                <w:color w:val="000000"/>
                <w:sz w:val="16"/>
              </w:rPr>
              <w:t>▸  Workflow notifications</w:t>
            </w:r>
          </w:p>
        </w:tc>
      </w:tr>
      <w:tr w:rsidR="00472341" w14:paraId="413474F3" w14:textId="77777777">
        <w:trPr>
          <w:cantSplit/>
          <w:jc w:val="center"/>
        </w:trPr>
        <w:tc>
          <w:tcPr>
            <w:tcW w:w="5126" w:type="dxa"/>
            <w:shd w:val="clear" w:color="auto" w:fill="FFFFFF"/>
            <w:tcMar>
              <w:top w:w="70" w:type="dxa"/>
              <w:left w:w="90" w:type="dxa"/>
              <w:bottom w:w="70" w:type="dxa"/>
              <w:right w:w="90" w:type="dxa"/>
            </w:tcMar>
            <w:vAlign w:val="center"/>
          </w:tcPr>
          <w:p w14:paraId="2E418900" w14:textId="77777777" w:rsidR="00472341" w:rsidRDefault="00000000">
            <w:pPr>
              <w:spacing w:after="0"/>
            </w:pPr>
            <w:r>
              <w:rPr>
                <w:color w:val="000000"/>
                <w:sz w:val="16"/>
              </w:rPr>
              <w:t>▸  Finance workflow handlers</w:t>
            </w:r>
          </w:p>
        </w:tc>
        <w:tc>
          <w:tcPr>
            <w:tcW w:w="5126" w:type="dxa"/>
            <w:gridSpan w:val="2"/>
            <w:shd w:val="clear" w:color="auto" w:fill="FFFFFF"/>
            <w:tcMar>
              <w:top w:w="70" w:type="dxa"/>
              <w:left w:w="90" w:type="dxa"/>
              <w:bottom w:w="70" w:type="dxa"/>
              <w:right w:w="90" w:type="dxa"/>
            </w:tcMar>
            <w:vAlign w:val="center"/>
          </w:tcPr>
          <w:p w14:paraId="23319BD8" w14:textId="77777777" w:rsidR="00472341" w:rsidRDefault="00000000">
            <w:pPr>
              <w:spacing w:after="0"/>
            </w:pPr>
            <w:r>
              <w:rPr>
                <w:color w:val="000000"/>
                <w:sz w:val="16"/>
              </w:rPr>
              <w:t>▸  Procurement workflow handlers</w:t>
            </w:r>
          </w:p>
        </w:tc>
      </w:tr>
      <w:tr w:rsidR="00472341" w14:paraId="37FDD677" w14:textId="77777777">
        <w:trPr>
          <w:cantSplit/>
          <w:jc w:val="center"/>
        </w:trPr>
        <w:tc>
          <w:tcPr>
            <w:tcW w:w="5126" w:type="dxa"/>
            <w:shd w:val="clear" w:color="auto" w:fill="F2F5FA"/>
            <w:tcMar>
              <w:top w:w="70" w:type="dxa"/>
              <w:left w:w="90" w:type="dxa"/>
              <w:bottom w:w="70" w:type="dxa"/>
              <w:right w:w="90" w:type="dxa"/>
            </w:tcMar>
            <w:vAlign w:val="center"/>
          </w:tcPr>
          <w:p w14:paraId="1477730F" w14:textId="77777777" w:rsidR="00472341" w:rsidRDefault="00000000">
            <w:pPr>
              <w:spacing w:after="0"/>
            </w:pPr>
            <w:r>
              <w:rPr>
                <w:color w:val="000000"/>
                <w:sz w:val="16"/>
              </w:rPr>
              <w:t>▸  Payment and payout workflow handlers</w:t>
            </w:r>
          </w:p>
        </w:tc>
        <w:tc>
          <w:tcPr>
            <w:tcW w:w="5126" w:type="dxa"/>
            <w:gridSpan w:val="2"/>
            <w:shd w:val="clear" w:color="auto" w:fill="F2F5FA"/>
            <w:tcMar>
              <w:top w:w="70" w:type="dxa"/>
              <w:left w:w="90" w:type="dxa"/>
              <w:bottom w:w="70" w:type="dxa"/>
              <w:right w:w="90" w:type="dxa"/>
            </w:tcMar>
            <w:vAlign w:val="center"/>
          </w:tcPr>
          <w:p w14:paraId="4585C5B0" w14:textId="77777777" w:rsidR="00472341" w:rsidRDefault="00472341">
            <w:pPr>
              <w:spacing w:after="0"/>
            </w:pP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 xml:space="preserve">Code: </w:t>
            </w:r>
            <w:r>
              <w:rPr>
                <w:color w:val="000000"/>
                <w:sz w:val="15"/>
              </w:rPr>
              <w:t>vs_schools; vs_config; vs_rbac; vs_user</w:t>
            </w:r>
          </w:p>
        </w:tc>
      </w:tr>
    </w:tbl>
    <w:p w14:paraId="277CB719" w14:textId="77777777" w:rsidR="00472341" w:rsidRDefault="00000000">
      <w:pPr>
        <w:spacing w:line="252" w:lineRule="auto"/>
      </w:pPr>
      <w:r>
        <w:rPr>
          <w:color w:val="000000"/>
          <w:sz w:val="17"/>
        </w:rPr>
        <w:t>Onboarding foundations are embedded in school creation, but there is no standalone onboarding tracker or go-live workflow.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Create school and initial branches</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Create school and branch primary administrators</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Provision baseline roles and permissions</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Send administrator invitations</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Apply platform default settings</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Apply package and module setup</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Create branding foundation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Audit school creation operations</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Build an onboarding checklist, progress state, readiness validation, go-live decision, rollback path, and post-launch monitoring.</w:t>
            </w:r>
          </w:p>
          <w:p w14:paraId="38D7D122" w14:textId="77777777" w:rsidR="00472341" w:rsidRDefault="00000000">
            <w:pPr>
              <w:spacing w:after="20"/>
              <w:ind w:left="86" w:hanging="86"/>
            </w:pPr>
            <w:r>
              <w:rPr>
                <w:sz w:val="16"/>
              </w:rPr>
              <w:t>• Seed required finance, procurement, and payout approval templates per school as part of onboarding.</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Seed and validate payout-batch approval templates during school onboarding.</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058D01C" w14:textId="77777777" w:rsidR="00472341" w:rsidRDefault="00000000">
            <w:pPr>
              <w:keepNext/>
              <w:spacing w:after="40"/>
            </w:pPr>
            <w:r>
              <w:rPr>
                <w:b/>
                <w:color w:val="2E5495"/>
                <w:sz w:val="17"/>
              </w:rPr>
              <w:t>NEEDS ATTENTION</w:t>
            </w:r>
          </w:p>
          <w:p w14:paraId="5A349052" w14:textId="77777777" w:rsidR="00472341" w:rsidRDefault="00000000">
            <w:pPr>
              <w:spacing w:after="20"/>
              <w:ind w:left="86" w:hanging="86"/>
            </w:pPr>
            <w:r>
              <w:rPr>
                <w:sz w:val="16"/>
              </w:rPr>
              <w:t>• Complete vendor-prepayment accounting and clearing before advance-payment scenarios are treated as finished.</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Review procurement templates that currently skip stages when no approvers resolve; approval should fail closed for controlled spend.</w:t>
            </w:r>
          </w:p>
          <w:p w14:paraId="502C2918" w14:textId="77777777" w:rsidR="00472341" w:rsidRDefault="00000000">
            <w:pPr>
              <w:spacing w:after="20"/>
              <w:ind w:left="86" w:hanging="86"/>
            </w:pPr>
            <w:r>
              <w:rPr>
                <w:sz w:val="16"/>
              </w:rPr>
              <w:t>• Make default approval templates school and branch aware, then seed them during onboarding.</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Add branch and physical-location controls before stock is operated across multiple campuses or stores.</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rPr>
          <w:color w:val="000000"/>
          <w:sz w:val="17"/>
        </w:rPr>
        <w:t>Tenant-aware support queue with comments, files, assignments, controlled status changes, notifications,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suspend, reactivate, and recoverable soft delete. Define session, authentication, and downstream-record behavior.</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77261CFA" w14:textId="77777777">
        <w:trPr>
          <w:cantSplit/>
          <w:jc w:val="center"/>
        </w:trPr>
        <w:tc>
          <w:tcPr>
            <w:tcW w:w="605" w:type="dxa"/>
            <w:shd w:val="clear" w:color="auto" w:fill="FBF1D7"/>
            <w:tcMar>
              <w:top w:w="70" w:type="dxa"/>
              <w:left w:w="90" w:type="dxa"/>
              <w:bottom w:w="70" w:type="dxa"/>
              <w:right w:w="90" w:type="dxa"/>
            </w:tcMar>
            <w:vAlign w:val="center"/>
          </w:tcPr>
          <w:p w14:paraId="1A43E3DF"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89B243" w14:textId="77777777" w:rsidR="00472341" w:rsidRDefault="00000000">
            <w:pPr>
              <w:spacing w:after="0"/>
            </w:pPr>
            <w:r>
              <w:rPr>
                <w:b/>
                <w:color w:val="2E5495"/>
                <w:sz w:val="15"/>
              </w:rPr>
              <w:t>Procurement approval fail-closed behavior</w:t>
            </w:r>
          </w:p>
        </w:tc>
        <w:tc>
          <w:tcPr>
            <w:tcW w:w="6091" w:type="dxa"/>
            <w:shd w:val="clear" w:color="auto" w:fill="FBF1D7"/>
            <w:tcMar>
              <w:top w:w="70" w:type="dxa"/>
              <w:left w:w="90" w:type="dxa"/>
              <w:bottom w:w="70" w:type="dxa"/>
              <w:right w:w="90" w:type="dxa"/>
            </w:tcMar>
            <w:vAlign w:val="center"/>
          </w:tcPr>
          <w:p w14:paraId="72887C6B" w14:textId="77777777" w:rsidR="00472341" w:rsidRDefault="00000000">
            <w:pPr>
              <w:spacing w:after="0"/>
            </w:pPr>
            <w:r>
              <w:rPr>
                <w:color w:val="000000"/>
                <w:sz w:val="15"/>
              </w:rPr>
              <w:t>Do not silently skip controlled-spend approval when no approver resolves. Make templates tenant and branch aware.</w:t>
            </w:r>
          </w:p>
        </w:tc>
        <w:tc>
          <w:tcPr>
            <w:tcW w:w="1325" w:type="dxa"/>
            <w:shd w:val="clear" w:color="auto" w:fill="FBF1D7"/>
            <w:tcMar>
              <w:top w:w="70" w:type="dxa"/>
              <w:left w:w="90" w:type="dxa"/>
              <w:bottom w:w="70" w:type="dxa"/>
              <w:right w:w="90" w:type="dxa"/>
            </w:tcMar>
            <w:vAlign w:val="center"/>
          </w:tcPr>
          <w:p w14:paraId="791A0B08" w14:textId="77777777" w:rsidR="00472341" w:rsidRDefault="00000000">
            <w:pPr>
              <w:spacing w:after="0"/>
              <w:jc w:val="center"/>
            </w:pPr>
            <w:r>
              <w:rPr>
                <w:color w:val="000000"/>
                <w:sz w:val="15"/>
              </w:rPr>
              <w:t>M7, M22, M23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Onboarding tracker and seeds</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Track readiness and go-live, and seed finance, procurement, and payout workflow templates per school.</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M17-M24</w:t>
            </w:r>
          </w:p>
        </w:tc>
      </w:tr>
      <w:tr w:rsidR="00472341" w14:paraId="062B6309" w14:textId="77777777">
        <w:trPr>
          <w:cantSplit/>
          <w:jc w:val="center"/>
        </w:trPr>
        <w:tc>
          <w:tcPr>
            <w:tcW w:w="605" w:type="dxa"/>
            <w:shd w:val="clear" w:color="auto" w:fill="FFFFFF"/>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FFFFF"/>
            <w:tcMar>
              <w:top w:w="70" w:type="dxa"/>
              <w:left w:w="90" w:type="dxa"/>
              <w:bottom w:w="70" w:type="dxa"/>
              <w:right w:w="90" w:type="dxa"/>
            </w:tcMar>
            <w:vAlign w:val="center"/>
          </w:tcPr>
          <w:p w14:paraId="3A23E735" w14:textId="77777777" w:rsidR="00472341" w:rsidRDefault="00000000">
            <w:pPr>
              <w:spacing w:after="0"/>
            </w:pPr>
            <w:r>
              <w:rPr>
                <w:color w:val="000000"/>
                <w:sz w:val="15"/>
              </w:rPr>
              <w:t>Scope documents, approvals, stock locations, and reporting to the correct branch where required.</w:t>
            </w:r>
          </w:p>
        </w:tc>
        <w:tc>
          <w:tcPr>
            <w:tcW w:w="1325" w:type="dxa"/>
            <w:shd w:val="clear" w:color="auto" w:fill="FFFFFF"/>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2F5FA"/>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2F5FA"/>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2F5FA"/>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v2.8 Documentation Delta</w:t>
      </w:r>
    </w:p>
    <w:p w14:paraId="4C4A5E5A" w14:textId="77777777" w:rsidR="00472341" w:rsidRDefault="00000000">
      <w:pPr>
        <w:spacing w:after="100" w:line="240" w:lineRule="auto" w:before="0"/>
      </w:pPr>
      <w:r>
        <w:rPr>
          <w:rFonts w:ascii="Aptos Narrow" w:hAnsi="Aptos Narrow"/>
          <w:b w:val="0"/>
          <w:color w:val="000000"/>
          <w:sz w:val="18"/>
        </w:rPr>
        <w:t>This revision records evidence that changed in the backend. Module numbering, the status model, and the capability count are unchanged.</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5C12739E" w14:textId="77777777" w:rsidR="00472341" w:rsidRDefault="00000000">
            <w:pPr>
              <w:spacing w:after="0" w:before="0" w:line="240" w:lineRule="auto"/>
              <w:jc w:val="left"/>
            </w:pPr>
            <w:r>
              <w:rPr>
                <w:rFonts w:ascii="Aptos Narrow" w:hAnsi="Aptos Narrow"/>
                <w:b/>
                <w:color w:val="FFFFFF"/>
                <w:sz w:val="17"/>
              </w:rPr>
              <w:t>v2.8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4AEA54D5" w14:textId="77777777" w:rsidR="00472341" w:rsidRDefault="00000000">
            <w:pPr>
              <w:spacing w:after="0" w:before="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1AC54074" w14:textId="77777777" w:rsidR="00472341" w:rsidRDefault="00000000">
            <w:pPr>
              <w:spacing w:after="0" w:before="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lifecycle transitions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Status, activation, deactivation, and closure timestamps persist together with the BranchLifecycle history row in one transaction. The allowed-transition matrix refuses every other move.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transition authorization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Tightened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endpoint requires platform.branches.manage in addition to XVision staff, and resolves the Branch within its route School so a code cannot reach another School's Branch.</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error envelope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validation error raised in string form is answered as a 400 rather than crashing the shared exception handler and returning a 500.</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 status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Unchanged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Backend Partial and Integration Partial. School lifecycle controls and closed-Branch access rules remain open.</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require privileged MFA, and make procurement approval fail closed.</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Validate payout approvals.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Make onboarding operational</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Add checklist and readiness states, and seed tenant-specific workflow templates and defaults.</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XVS Module Requirements Document v2.8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v2.8</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2026-08-11T12:00:00Z</dcterms:modified>
  <cp:version>2.8</cp:version>
</cp:coreProperties>
</file>