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2.102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2.102</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working tree, 8 October 2026. Closed-figures wording and the statutory-pack response and downloads are verified locally, and tenant-scoped recovery of import jobs that exceed their running-time limit is added. No deployment or production adoption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v1.32.</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v1.9.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finance filing contract adds four explicit statement windows to the statutory-pack response and uses them unchanged in CSV, XLSX and PDF. The downloads include the same cash-flow and changes-in-equity summaries as the response. The periodic recovery path for import jobs that remain running past their configured limit now resolves each job's tenant. Existing capability counts, module statuses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2.102</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