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t>X</w:t>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20: Adjustments &amp; Concessions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M20 | Adjustments &amp; Concessions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v2.9.1 | Module 20</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vs_rbac, vs_audit, vs_exports,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Giving back, charging more, refunding, and writing off</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The five postings, dated guards,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credit, refund, waive, and write off</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Adjustment lifecycles and the approval gate</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adjustment records and their postings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approval, audit, and export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20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Reducing a receivable for a return, allowance or over-bill, and optionally applying it to invoices.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Charging a customer more, as a supplementary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Discounts, waivers, bursaries and scholarships as a targeted, policy-grounded credit.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cash back for an over-paid credit balance, including the availability check that decides whether there is any.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Conceding an uncollectable receivable to bad debt.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Applying the same adjustment across many receivables in one act.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Voiding, the approval gate where a template exists, and the audit history of every adjustment.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only adjusts what that one raised.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Every posting here passes its period lock, balance guard, and chronology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submits and reacts;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A supplier credit is an accounts-payable matter, not a receivable one.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future student and guardian domains. A scholarship here is a concession with a kind, not an entitlement calculation.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Five postings carry the module, and each names the account it touches explicitly rather than reusing a generic adjustment account. That is what keeps a waiver distinguishable from a bad debt in the income statement, which is the whole point of separating them.</w:t>
      </w:r>
    </w:p>
    <w:p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 on the invoice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revenue or returns, Dr output tax;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Optionally applied, raising the credited amount.</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supplementary charge; never applied to reduce another invoice.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Clears that much through the credited amount.</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Restores the receivable that the over-payment had cleared.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Clears the balance through the credited amount.</w:t>
            </w:r>
          </w:p>
        </w:tc>
      </w:tr>
    </w:tbl>
    <w:p w:rsidR="00A62A3E" w:rsidRDefault="00000000">
      <w:pPr>
        <w:pStyle w:val="Heading2"/>
        <w:keepNext/>
        <w:pBdr>
          <w:bottom w:val="single" w:sz="8" w:space="5" w:color="355B9D"/>
        </w:pBdr>
      </w:pPr>
      <w:r>
        <w:t>2.2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finance.creditnote.*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finance.concession.*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Check availability, raise a refund, submit it for approval,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finance.refund.* plus the approving role the stage names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a write-off, and post it once approved.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finance.writeoff.* plus the approving role the stage names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THESE ARE THE APPROVED ONES</w:t>
            </w:r>
          </w:p>
          <w:p w:rsidR="00A62A3E" w:rsidRDefault="00000000">
            <w:pPr>
              <w:spacing w:after="20"/>
              <w:ind w:left="86" w:hanging="86"/>
            </w:pPr>
            <w:r>
              <w:rPr>
                <w:sz w:val="16"/>
              </w:rPr>
              <w:t xml:space="preserve">• Refunds and write-offs are the two adjustments that either move cash out or concede income, so they carry a submit step and route through the approval engine where a template exists for the document type.</w:t>
            </w:r>
          </w:p>
          <w:p w:rsidR="00A62A3E" w:rsidRDefault="00000000">
            <w:pPr>
              <w:spacing w:after="20"/>
              <w:ind w:left="86" w:hanging="86"/>
            </w:pPr>
            <w:r>
              <w:rPr>
                <w:sz w:val="16"/>
              </w:rPr>
              <w:t xml:space="preserve">• Credit notes, debit notes and concessions post directly under their own permission. That is a deliberate difference in kind, not an oversight, but it means the control over them is the permission grant alone.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return, allowance or over-bill must be correctable without editing the original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credit note debits revenue or returns and the output tax, and credits the receivable control. It can then be applied to invoices, a non-cash settlement that raises the credited amount.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original invoice is never rewritten, so the books still show what was billed and, separately, what was given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undercharge must be correctable in the same direction as the original bill.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debit note debits the receivable control and credits revenue and output tax. It is a supplementary invoice and is never applied to reduce another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asymmetry is deliberate and enforced: applying a debit note to an invoice would be a credit in disguise.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discount, waiver, bursary or scholarship must be recognisable as such in the accounts.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concession posts a targeted single-line credit: debit discounts and allowances, a contra-revenue account, and credit the receivable control, clearing that much through the invoice's credited amount. A school's scholarship is simply a concession with a kind of SCHOLARSHIP.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it lands in contra-revenue rather than bad debt or a generic adjustment, the income statement distinguishes money the entity chose to forgo from money it failed to collect.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eligibility rule behind a concession lives outside this module; it records the decision, not the entitlement.</w:t>
            </w:r>
          </w:p>
        </w:tc>
      </w:tr>
    </w:tbl>
    <w:p w:rsidR="00A62A3E" w:rsidRDefault="00000000">
      <w:pPr>
        <w:spacing w:after="0"/>
      </w:pPr>
    </w:p>
    <w:p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Cash may only be handed back where a genuine credit balance exists, and the receivable it cleared must be restored.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availability endpoint answers what may be refunded. Posting a refund debits the receivable control and credits bank, restoring the receivable. The refund carries a submit step and routes through the approval engine where a template exists.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 validates against the credit position as at the refund date, so a refund cannot pay out credit that only arrives later.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computed from the receivable state; a refund of money the gateway has not actually settled is not detectable here.</w:t>
            </w:r>
          </w:p>
        </w:tc>
      </w:tr>
    </w:tbl>
    <w:p w:rsidR="00A62A3E" w:rsidRDefault="00000000">
      <w:pPr>
        <w:spacing w:after="0"/>
      </w:pPr>
    </w:p>
    <w:p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Conceding a debt must be an explicit expense, not a quiet disappearance.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loss is visible in the income statement as bad debt rather than as revenue that never appeared. The chronology guard prevents a write-off clearing an invoice not yet raised.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policy decision affecting many customers must not require one action per customer.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batch endpoint applies the same adjustment across a set of receivables, and a listing endpoint reads back the adjustments made.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member of the batch posts through the same service as a single adjustment, so a batch cannot bypass a guard that a single action would have hit.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batch is applied to the selection it is given; the module holds no rule about who should have been included.</w:t>
            </w:r>
          </w:p>
        </w:tc>
      </w:tr>
    </w:tbl>
    <w:p w:rsidR="00A62A3E" w:rsidRDefault="00000000">
      <w:pPr>
        <w:spacing w:after="0"/>
      </w:pPr>
    </w:p>
    <w:p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mistaken adjustment must be reversible, and the reversal must be part of the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Credit notes, concessions, refunds and payments each carry a void action that reverses the posting rather than deleting the row.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Voiding is a posting on its own date, so the ledger shows both the adjustment and its withdrawal.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two adjustments that move cash out or concede income should be approvable before they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Refunds and write-offs expose a submit action that hands the document to the approval engine. The engine selects the template for the scope, and the registered handler applies the outcome. The submit response carries the approval block, so the client learns immediately if nobody can approve.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is opt-in by template, matching the rest of the platform: with no template published for the document type, the direct post is unchanged.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Credit notes, debit notes and concessions have no approval step at all, so the only control over them is the permission grant. See Section 9.</w:t>
            </w:r>
          </w:p>
        </w:tc>
      </w:tr>
    </w:tbl>
    <w:p w:rsidR="00A62A3E" w:rsidRDefault="00000000">
      <w:pPr>
        <w:spacing w:after="0"/>
      </w:pPr>
    </w:p>
    <w:p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reduced a receivable, by how much, and on what grounds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adjustment writes a finance audit row, served through the audit-log endpoint and its facets behind a SENSITIVE key, and the adjustment records themselves carry their reason and their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every adjustment is a posting rather than an edit, the ledger is itself a second, independent trail.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 where approval applies, or POSTED directly.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and postable, or rejected back to DRAFT.</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Reversed deliberately.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Moves cash out of the entity.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Concedes income as bad debt.</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Permission only.</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a receivable without moving cash.</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Permission only.</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Charges more, not less.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Permission only.</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policy credit; the policy is the control, and it lives outside.</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reduction and whether it was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Applying raises the invoice's credited amount.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DebitNote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supplementary charge.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applied against another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discount, waiver, bursary or scholarship, with its kind.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to contra-revenue.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Restores the receivable it clears.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conceded debt,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to bad-debt expense.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Complemented by the journal each adjustment raised.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20's.</w:t>
      </w:r>
    </w:p>
    <w:p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/credit-notes/{id}/post/,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apply to invoices, reverse.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Discounts, waivers, bursaries, scholarships.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has been forgone, summarised.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/concessions/{id}/post/,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w:t>
            </w:r>
          </w:p>
        </w:tc>
      </w:tr>
    </w:tbl>
    <w:p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may be refunded, and why.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hand-off, posting, reversal.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hand-off and posting.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Concede one invoice directly.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one adjustment across many.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adjustments made.</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while the approval is outstanding.</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invoices and the credited amount this module moves, so the two must be read together.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accounts named by each of the five journals, the period lock and the chronology guards.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the refund and write-off approvals where a template exists for the document type.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each view enforces.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adjustment history.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adjustment datasets.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concerns how much of this module a single permission grant unlocks.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ADJUSTMENTS ANSWER TO A PERMISSION ALONE</w:t>
            </w:r>
          </w:p>
          <w:p w:rsidR="00A62A3E" w:rsidRDefault="00000000">
            <w:pPr>
              <w:spacing w:after="20"/>
              <w:ind w:left="86" w:hanging="86"/>
            </w:pPr>
            <w:r>
              <w:rPr>
                <w:sz w:val="16"/>
              </w:rPr>
              <w:t xml:space="preserve">• Refunds and write-offs are approvable. Credit notes, debit notes and concessions are not: a holder of the permission can reduce a receivable to nil on their own, and the posting is the only record that it happened.</w:t>
            </w:r>
          </w:p>
          <w:p w:rsidR="00A62A3E" w:rsidRDefault="00000000">
            <w:pPr>
              <w:spacing w:after="20"/>
              <w:ind w:left="86" w:hanging="86"/>
            </w:pPr>
            <w:r>
              <w:rPr>
                <w:sz w:val="16"/>
              </w:rPr>
              <w:t xml:space="preserve">• That is defensible for a small allowance and much less so for a full waiver, and nothing in the module distinguishes the two by size.</w:t>
            </w:r>
          </w:p>
          <w:p w:rsidR="00A62A3E" w:rsidRDefault="00000000">
            <w:pPr>
              <w:spacing w:after="20"/>
              <w:ind w:left="86" w:hanging="86"/>
            </w:pPr>
            <w:r>
              <w:rPr>
                <w:sz w:val="16"/>
              </w:rPr>
              <w:t xml:space="preserve">• Required completion: decide whether concessions and credit notes above a threshold should route through the approval engine as refunds and write-offs already do. The engine supports a threshold-gated stage today.</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Approval is opt-in by template even for refunds and write-offs, so an install with no template published posts them directly.</w:t>
            </w:r>
          </w:p>
          <w:p w:rsidR="00A62A3E" w:rsidRDefault="00000000">
            <w:pPr>
              <w:spacing w:after="20"/>
              <w:ind w:left="86" w:hanging="86"/>
            </w:pPr>
            <w:r>
              <w:rPr>
                <w:sz w:val="16"/>
              </w:rPr>
              <w:t xml:space="preserve">• Refund availability is computed from the receivable state, so it cannot tell that an over-payment has not actually settled at the bank.</w:t>
            </w:r>
          </w:p>
          <w:p w:rsidR="00A62A3E" w:rsidRDefault="00000000">
            <w:pPr>
              <w:spacing w:after="20"/>
              <w:ind w:left="86" w:hanging="86"/>
            </w:pPr>
            <w:r>
              <w:rPr>
                <w:sz w:val="16"/>
              </w:rPr>
              <w:t xml:space="preserve">• A batch adjustment is applied to the selection it is given; the module holds no rule about who should have been in it.</w:t>
            </w:r>
          </w:p>
          <w:p w:rsidR="00A62A3E" w:rsidRDefault="00000000">
            <w:pPr>
              <w:spacing w:after="20"/>
              <w:ind w:left="86" w:hanging="86"/>
            </w:pPr>
            <w:r>
              <w:rPr>
                <w:sz w:val="16"/>
              </w:rPr>
              <w:t xml:space="preserve">• Concessions and student-facing refund rules are not connected to the future student and guardian domains, so eligibility is decided outside the platform. Tracked against Modules 11 to 16 and 20.</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20 carries 12 capability entries in MRD v2.9.1.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FR-004,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FR-009</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0/"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