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726E813" w14:textId="77777777" w:rsidR="00A62A3E" w:rsidRDefault="00000000">
      <w:pPr>
        <w:spacing w:before="1440" w:after="1280"/>
      </w:pPr>
      <w:r>
        <w:rPr>
          <w:rFonts w:ascii="Aptos Display" w:hAnsi="Aptos Display"/>
          <w:b/>
          <w:color w:val="355B9D"/>
          <w:sz w:val="72"/>
        </w:rPr>
        <w:t>X</w:t>
      </w:r>
    </w:p>
    <w:tbl>
      <w:tblPr>
        <w:tblW w:w="8352" w:type="dxa"/>
        <w:tblLayout w:type="fixed"/>
        <w:tblLook w:val="04A0" w:firstRow="1" w:lastRow="0" w:firstColumn="1" w:lastColumn="0" w:noHBand="0" w:noVBand="1"/>
      </w:tblPr>
      <w:tblGrid>
        <w:gridCol w:w="8352"/>
      </w:tblGrid>
      <w:tr w:rsidR="00A62A3E" w14:paraId="1E522F89" w14:textId="77777777">
        <w:tc>
          <w:tcPr>
            <w:tcW w:w="8352" w:type="dxa"/>
            <w:tcBorders>
              <w:top w:val="single" w:sz="10" w:space="0" w:color="000000"/>
              <w:left w:val="single" w:sz="10" w:space="0" w:color="000000"/>
              <w:bottom w:val="single" w:sz="10" w:space="0" w:color="000000"/>
              <w:right w:val="single" w:sz="10" w:space="0" w:color="000000"/>
            </w:tcBorders>
            <w:shd w:val="clear" w:color="auto" w:fill="355B9D"/>
            <w:tcMar>
              <w:top w:w="190" w:type="dxa"/>
              <w:left w:w="180" w:type="dxa"/>
              <w:bottom w:w="190" w:type="dxa"/>
              <w:right w:w="180" w:type="dxa"/>
            </w:tcMar>
          </w:tcPr>
          <w:p w14:paraId="1AA1E3BE" w14:textId="77777777" w:rsidR="00A62A3E" w:rsidRDefault="00000000">
            <w:pPr>
              <w:spacing w:after="140"/>
            </w:pPr>
            <w:r>
              <w:rPr>
                <w:rFonts w:ascii="Aptos Display" w:hAnsi="Aptos Display"/>
                <w:b/>
                <w:color w:val="FFFFFF"/>
                <w:sz w:val="40"/>
              </w:rPr>
              <w:t>FUNCTIONAL REQUIREMENTS DOCUMENT</w:t>
            </w:r>
          </w:p>
          <w:p w14:paraId="4FAAA466" w14:textId="77777777" w:rsidR="00A62A3E" w:rsidRDefault="00000000">
            <w:pPr>
              <w:spacing w:after="100"/>
            </w:pPr>
            <w:r>
              <w:rPr>
                <w:rFonts w:ascii="Aptos Display" w:hAnsi="Aptos Display"/>
                <w:b/>
                <w:color w:val="FFFFFF"/>
                <w:sz w:val="28"/>
              </w:rPr>
              <w:t>Module 21: Vendor Management</w:t>
            </w:r>
          </w:p>
          <w:p w14:paraId="6071B59E" w14:textId="77777777" w:rsidR="00A62A3E" w:rsidRDefault="00000000">
            <w:pPr>
              <w:spacing w:after="180"/>
            </w:pPr>
            <w:r>
              <w:rPr>
                <w:color w:val="FFFFFF"/>
                <w:sz w:val="20"/>
              </w:rPr>
              <w:t>XVision Systems | Code-aligned functional baseline</w:t>
            </w:r>
          </w:p>
          <w:p w14:paraId="05516311" w14:textId="77777777" w:rsidR="00A62A3E" w:rsidRDefault="00000000">
            <w:pPr>
              <w:spacing w:after="0"/>
            </w:pPr>
            <w:r>
              <w:rPr>
                <w:b/>
                <w:color w:val="FFFFFF"/>
                <w:sz w:val="19"/>
              </w:rPr>
              <w:t>Prepared by: CodeX Team     Version: 1.0</w:t>
            </w:r>
          </w:p>
        </w:tc>
      </w:tr>
    </w:tbl>
    <w:p w14:paraId="51F662A0" w14:textId="77777777" w:rsidR="00A62A3E" w:rsidRDefault="00000000">
      <w:pPr>
        <w:spacing w:after="160"/>
      </w:pPr>
      <w:r>
        <w:rPr>
          <w:rFonts w:ascii="Aptos Display" w:hAnsi="Aptos Display"/>
          <w:b/>
          <w:color w:val="355B9D"/>
          <w:sz w:val="52"/>
        </w:rPr>
        <w:t>2026</w:t>
      </w:r>
    </w:p>
    <w:p w14:paraId="74327561" w14:textId="77777777" w:rsidR="00A62A3E" w:rsidRDefault="00000000">
      <w:pPr>
        <w:spacing w:after="100"/>
      </w:pPr>
      <w:r>
        <w:rPr>
          <w:color w:val="5E6B7A"/>
        </w:rPr>
        <w:t>Internal Documentation</w:t>
      </w:r>
    </w:p>
    <w:p w14:paraId="4ECE0199" w14:textId="77777777" w:rsidR="00A62A3E" w:rsidRDefault="00000000">
      <w:r>
        <w:br w:type="page"/>
      </w:r>
    </w:p>
    <w:p w14:paraId="5020320F" w14:textId="77777777" w:rsidR="00A62A3E" w:rsidRDefault="00000000">
      <w:pPr>
        <w:pStyle w:val="Heading1"/>
        <w:keepNext/>
        <w:pBdr>
          <w:bottom w:val="single" w:sz="14" w:space="5" w:color="355B9D"/>
        </w:pBdr>
      </w:pPr>
      <w:r>
        <w:lastRenderedPageBreak/>
        <w:t>Document Control</w:t>
      </w:r>
    </w:p>
    <w:tbl>
      <w:tblPr>
        <w:tblW w:w="10468" w:type="dxa"/>
        <w:jc w:val="center"/>
        <w:tblLayout w:type="fixed"/>
        <w:tblLook w:val="04A0" w:firstRow="1" w:lastRow="0" w:firstColumn="1" w:lastColumn="0" w:noHBand="0" w:noVBand="1"/>
      </w:tblPr>
      <w:tblGrid>
        <w:gridCol w:w="2520"/>
        <w:gridCol w:w="7948"/>
      </w:tblGrid>
      <w:tr w:rsidR="00A62A3E" w14:paraId="708756AF"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7E2D3D5E" w14:textId="77777777" w:rsidR="00A62A3E" w:rsidRDefault="00000000">
            <w:pPr>
              <w:spacing w:after="0"/>
            </w:pPr>
            <w:r>
              <w:rPr>
                <w:b/>
                <w:color w:val="FFFFFF"/>
                <w:sz w:val="17"/>
              </w:rPr>
              <w:t>Document</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89829C6" w14:textId="77777777" w:rsidR="00A62A3E" w:rsidRDefault="00000000">
            <w:pPr>
              <w:spacing w:after="0"/>
            </w:pPr>
            <w:r>
              <w:rPr>
                <w:color w:val="000000"/>
                <w:sz w:val="17"/>
              </w:rPr>
              <w:t>Functional Requirements Document (FRD)</w:t>
            </w:r>
          </w:p>
        </w:tc>
      </w:tr>
      <w:tr w:rsidR="00A62A3E" w14:paraId="1CB7431C"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13157BE7" w14:textId="77777777" w:rsidR="00A62A3E" w:rsidRDefault="00000000">
            <w:pPr>
              <w:spacing w:after="0"/>
            </w:pPr>
            <w:r>
              <w:rPr>
                <w:b/>
                <w:color w:val="FFFFFF"/>
                <w:sz w:val="17"/>
              </w:rPr>
              <w:t>Module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A3EF7DA" w14:textId="77777777" w:rsidR="00A62A3E" w:rsidRDefault="00000000">
            <w:pPr>
              <w:spacing w:after="0"/>
            </w:pPr>
            <w:r>
              <w:rPr>
                <w:color w:val="000000"/>
                <w:sz w:val="17"/>
              </w:rPr>
              <w:t>M21 | Vendor Management</w:t>
            </w:r>
          </w:p>
        </w:tc>
      </w:tr>
      <w:tr w:rsidR="00A62A3E" w14:paraId="4A6C5C17"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D9645A4" w14:textId="77777777" w:rsidR="00A62A3E" w:rsidRDefault="00000000">
            <w:pPr>
              <w:spacing w:after="0"/>
            </w:pPr>
            <w:r>
              <w:rPr>
                <w:b/>
                <w:color w:val="FFFFFF"/>
                <w:sz w:val="17"/>
              </w:rPr>
              <w:t>Version</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8FA6E75" w14:textId="77777777" w:rsidR="00A62A3E" w:rsidRDefault="00000000">
            <w:pPr>
              <w:spacing w:after="0"/>
            </w:pPr>
            <w:r>
              <w:rPr>
                <w:color w:val="000000"/>
                <w:sz w:val="17"/>
              </w:rPr>
              <w:t>1.0</w:t>
            </w:r>
          </w:p>
        </w:tc>
      </w:tr>
      <w:tr w:rsidR="00A62A3E" w14:paraId="04BF5F76"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A15B32D" w14:textId="77777777" w:rsidR="00A62A3E" w:rsidRDefault="00000000">
            <w:pPr>
              <w:spacing w:after="0"/>
            </w:pPr>
            <w:r>
              <w:rPr>
                <w:b/>
                <w:color w:val="FFFFFF"/>
                <w:sz w:val="17"/>
              </w:rPr>
              <w:t>Review date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D879080" w14:textId="77777777" w:rsidR="00A62A3E" w:rsidRDefault="00000000">
            <w:pPr>
              <w:spacing w:after="0"/>
            </w:pPr>
            <w:r>
              <w:rPr>
                <w:color w:val="000000"/>
                <w:sz w:val="17"/>
              </w:rPr>
              <w:t>13 August 2026</w:t>
            </w:r>
          </w:p>
        </w:tc>
      </w:tr>
      <w:tr w:rsidR="00A62A3E" w14:paraId="07F4B091"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CBDE6FE" w14:textId="77777777" w:rsidR="00A62A3E" w:rsidRDefault="00000000">
            <w:pPr>
              <w:spacing w:after="0"/>
            </w:pPr>
            <w:r>
              <w:rPr>
                <w:b/>
                <w:color w:val="FFFFFF"/>
                <w:sz w:val="17"/>
              </w:rPr>
              <w:t>Code baseline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C536FCB" w14:textId="77777777" w:rsidR="00A62A3E" w:rsidRDefault="00000000">
            <w:pPr>
              <w:spacing w:after="0"/>
            </w:pPr>
            <w:r>
              <w:rPr>
                <w:color w:val="000000"/>
                <w:sz w:val="17"/>
              </w:rPr>
              <w:t>3ba18f81950df3e826bf8955aabaea58d9a0ff06 (13 August 2026)</w:t>
            </w:r>
          </w:p>
        </w:tc>
      </w:tr>
      <w:tr w:rsidR="00A62A3E" w14:paraId="002FA76B"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51265AC7" w14:textId="77777777" w:rsidR="00A62A3E" w:rsidRDefault="00000000">
            <w:pPr>
              <w:spacing w:after="0"/>
            </w:pPr>
            <w:r>
              <w:rPr>
                <w:b/>
                <w:color w:val="FFFFFF"/>
                <w:sz w:val="17"/>
              </w:rPr>
              <w:t>Source MRD</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77575A9" w14:textId="77777777" w:rsidR="00A62A3E" w:rsidRDefault="00000000">
            <w:pPr>
              <w:spacing w:after="0"/>
            </w:pPr>
            <w:r>
              <w:rPr>
                <w:color w:val="000000"/>
                <w:sz w:val="17"/>
              </w:rPr>
              <w:t>XVS Module Requirements Document v2.9.1 | Module 21</w:t>
            </w:r>
          </w:p>
        </w:tc>
      </w:tr>
      <w:tr w:rsidR="00A62A3E" w14:paraId="568E0EB5"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F36713D" w14:textId="77777777" w:rsidR="00A62A3E" w:rsidRDefault="00000000">
            <w:pPr>
              <w:spacing w:after="0"/>
            </w:pPr>
            <w:r>
              <w:rPr>
                <w:b/>
                <w:color w:val="FFFFFF"/>
                <w:sz w:val="17"/>
              </w:rPr>
              <w:t>Primary app</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6A301F0" w14:textId="77777777" w:rsidR="00A62A3E" w:rsidRDefault="00000000">
            <w:pPr>
              <w:spacing w:after="0"/>
            </w:pPr>
            <w:r>
              <w:rPr>
                <w:color w:val="000000"/>
                <w:sz w:val="17"/>
              </w:rPr>
              <w:t>vs_procurement</w:t>
            </w:r>
          </w:p>
        </w:tc>
      </w:tr>
      <w:tr w:rsidR="00A62A3E" w14:paraId="7C13A4FA"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22D70A46" w14:textId="77777777" w:rsidR="00A62A3E" w:rsidRDefault="00000000">
            <w:pPr>
              <w:spacing w:after="0"/>
            </w:pPr>
            <w:r>
              <w:rPr>
                <w:b/>
                <w:color w:val="FFFFFF"/>
                <w:sz w:val="17"/>
              </w:rPr>
              <w:t>Supporting apps</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EB1F513" w14:textId="77777777" w:rsidR="00A62A3E" w:rsidRDefault="00000000">
            <w:pPr>
              <w:spacing w:after="0"/>
            </w:pPr>
            <w:r>
              <w:rPr>
                <w:color w:val="000000"/>
                <w:sz w:val="17"/>
              </w:rPr>
              <w:t>vs_finance, vs_rbac, vs_notifications, vs_audit, vs_tenants</w:t>
            </w:r>
          </w:p>
        </w:tc>
      </w:tr>
      <w:tr w:rsidR="00A62A3E" w14:paraId="2ADF563D"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18AD0B2D" w14:textId="77777777" w:rsidR="00A62A3E" w:rsidRDefault="00000000">
            <w:pPr>
              <w:spacing w:after="0"/>
            </w:pPr>
            <w:r>
              <w:rPr>
                <w:b/>
                <w:color w:val="FFFFFF"/>
                <w:sz w:val="17"/>
              </w:rPr>
              <w:t>Status</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19276AB" w14:textId="77777777" w:rsidR="00A62A3E" w:rsidRDefault="00000000">
            <w:pPr>
              <w:spacing w:after="0"/>
            </w:pPr>
            <w:r>
              <w:rPr>
                <w:color w:val="000000"/>
                <w:sz w:val="17"/>
              </w:rPr>
              <w:t>Code-aligned baseline for Product and Engineering review</w:t>
            </w:r>
          </w:p>
        </w:tc>
      </w:tr>
      <w:tr w:rsidR="00A62A3E" w14:paraId="6528EEBD"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54FC2D03" w14:textId="77777777" w:rsidR="00A62A3E" w:rsidRDefault="00000000">
            <w:pPr>
              <w:spacing w:after="0"/>
            </w:pPr>
            <w:r>
              <w:rPr>
                <w:b/>
                <w:color w:val="FFFFFF"/>
                <w:sz w:val="17"/>
              </w:rPr>
              <w:t>Owner</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957B789" w14:textId="77777777" w:rsidR="00A62A3E" w:rsidRDefault="00000000">
            <w:pPr>
              <w:spacing w:after="0"/>
            </w:pPr>
            <w:r>
              <w:rPr>
                <w:color w:val="000000"/>
                <w:sz w:val="17"/>
              </w:rPr>
              <w:t>CodeX Team</w:t>
            </w:r>
          </w:p>
        </w:tc>
      </w:tr>
      <w:tr w:rsidR="00A62A3E" w14:paraId="732C6AAC" w14:textId="77777777">
        <w:trPr>
          <w:jc w:val="center"/>
        </w:trPr>
        <w:tc>
          <w:tcPr>
            <w:tcW w:w="10469" w:type="dxa"/>
            <w:gridSpan w:val="2"/>
            <w:tcBorders>
              <w:top w:val="single" w:sz="9" w:space="0" w:color="355B9D"/>
              <w:left w:val="single" w:sz="9" w:space="0" w:color="355B9D"/>
              <w:bottom w:val="single" w:sz="9" w:space="0" w:color="355B9D"/>
              <w:right w:val="single" w:sz="9" w:space="0" w:color="355B9D"/>
            </w:tcBorders>
            <w:shd w:val="clear" w:color="auto" w:fill="EAF0FA"/>
            <w:tcMar>
              <w:top w:w="100" w:type="dxa"/>
              <w:left w:w="120" w:type="dxa"/>
              <w:bottom w:w="100" w:type="dxa"/>
              <w:right w:w="120" w:type="dxa"/>
            </w:tcMar>
          </w:tcPr>
          <w:p w14:paraId="6E5BBF0B" w14:textId="77777777" w:rsidR="00A62A3E" w:rsidRDefault="00000000">
            <w:r>
              <w:rPr>
                <w:b/>
                <w:color w:val="355B9D"/>
              </w:rPr>
              <w:t>EVIDENCE BOUNDARY</w:t>
            </w:r>
          </w:p>
          <w:p w14:paraId="50BD08E6" w14:textId="77777777" w:rsidR="00A62A3E" w:rsidRDefault="00000000">
            <w:pPr>
              <w:spacing w:after="40"/>
            </w:pPr>
            <w:r>
              <w:rPr>
                <w:color w:val="000000"/>
                <w:sz w:val="17"/>
              </w:rPr>
              <w:t>• Implemented means the stated backend path is present in the inspected code. It does not prove frontend completion, deployment, production adoption, or data migration.</w:t>
            </w:r>
          </w:p>
          <w:p w14:paraId="7F0B3BCA" w14:textId="77777777" w:rsidR="00A62A3E" w:rsidRDefault="00000000">
            <w:pPr>
              <w:spacing w:after="40"/>
            </w:pPr>
            <w:r>
              <w:rPr>
                <w:color w:val="000000"/>
                <w:sz w:val="17"/>
              </w:rPr>
              <w:t>• Partial, Defective, and Not implemented items are current requirements and risks, not historical notes.</w:t>
            </w:r>
          </w:p>
          <w:p w14:paraId="6D01A539" w14:textId="77777777" w:rsidR="00A62A3E" w:rsidRDefault="00000000">
            <w:pPr>
              <w:spacing w:after="40"/>
            </w:pPr>
            <w:r>
              <w:rPr>
                <w:color w:val="000000"/>
                <w:sz w:val="17"/>
              </w:rPr>
              <w:t>• The MRD and this FRD have independent versions. A change can require one or both documents to advance.</w:t>
            </w:r>
          </w:p>
        </w:tc>
      </w:tr>
    </w:tbl>
    <w:p w14:paraId="0A054924" w14:textId="77777777" w:rsidR="00A62A3E" w:rsidRDefault="00000000">
      <w:r>
        <w:br w:type="page"/>
      </w:r>
    </w:p>
    <w:p w14:paraId="07D398E9" w14:textId="77777777" w:rsidR="00A62A3E" w:rsidRDefault="00000000">
      <w:pPr>
        <w:pStyle w:val="Heading1"/>
        <w:keepNext/>
        <w:pBdr>
          <w:bottom w:val="single" w:sz="14" w:space="5" w:color="355B9D"/>
        </w:pBdr>
      </w:pPr>
      <w:r>
        <w:lastRenderedPageBreak/>
        <w:t>Table of Contents</w:t>
      </w:r>
    </w:p>
    <w:tbl>
      <w:tblPr>
        <w:tblW w:w="10468" w:type="dxa"/>
        <w:jc w:val="center"/>
        <w:tblLayout w:type="fixed"/>
        <w:tblLook w:val="04A0" w:firstRow="1" w:lastRow="0" w:firstColumn="1" w:lastColumn="0" w:noHBand="0" w:noVBand="1"/>
      </w:tblPr>
      <w:tblGrid>
        <w:gridCol w:w="3384"/>
        <w:gridCol w:w="7084"/>
      </w:tblGrid>
      <w:tr w:rsidR="00A62A3E" w14:paraId="07F4D2CE" w14:textId="77777777">
        <w:trPr>
          <w:tblHeader/>
          <w:jc w:val="center"/>
        </w:trPr>
        <w:tc>
          <w:tcPr>
            <w:tcW w:w="3384"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5B9DEA46" w14:textId="77777777" w:rsidR="00A62A3E" w:rsidRDefault="00000000">
            <w:pPr>
              <w:spacing w:after="0"/>
            </w:pPr>
            <w:r>
              <w:rPr>
                <w:b/>
                <w:color w:val="FFFFFF"/>
                <w:sz w:val="17"/>
              </w:rPr>
              <w:t>Section</w:t>
            </w:r>
          </w:p>
        </w:tc>
        <w:tc>
          <w:tcPr>
            <w:tcW w:w="7085"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54317225" w14:textId="77777777" w:rsidR="00A62A3E" w:rsidRDefault="00000000">
            <w:pPr>
              <w:spacing w:after="0"/>
            </w:pPr>
            <w:r>
              <w:rPr>
                <w:b/>
                <w:color w:val="FFFFFF"/>
                <w:sz w:val="17"/>
              </w:rPr>
              <w:t>Purpose</w:t>
            </w:r>
          </w:p>
        </w:tc>
      </w:tr>
      <w:tr w:rsidR="00A62A3E" w14:paraId="1340418A"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647E8C0" w14:textId="77777777" w:rsidR="00A62A3E" w:rsidRDefault="00000000">
            <w:pPr>
              <w:spacing w:after="0"/>
            </w:pPr>
            <w:r>
              <w:rPr>
                <w:color w:val="000000"/>
                <w:sz w:val="17"/>
              </w:rPr>
              <w:t>Document Control</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FB8E545" w14:textId="77777777" w:rsidR="00A62A3E" w:rsidRDefault="00000000">
            <w:pPr>
              <w:spacing w:after="0"/>
            </w:pPr>
            <w:r>
              <w:rPr>
                <w:color w:val="000000"/>
                <w:sz w:val="17"/>
              </w:rPr>
              <w:t>Version, ownership, source baseline, and evidence rules</w:t>
            </w:r>
          </w:p>
        </w:tc>
      </w:tr>
      <w:tr w:rsidR="00A62A3E" w14:paraId="045D0D8A"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31F0AD3" w14:textId="77777777" w:rsidR="00A62A3E" w:rsidRDefault="00000000">
            <w:pPr>
              <w:spacing w:after="0"/>
            </w:pPr>
            <w:r>
              <w:rPr>
                <w:color w:val="000000"/>
                <w:sz w:val="17"/>
              </w:rPr>
              <w:t>1. Purpose and Scope</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8EF0343" w14:textId="77777777" w:rsidR="00A62A3E" w:rsidRDefault="00000000">
            <w:pPr>
              <w:spacing w:after="0"/>
            </w:pPr>
            <w:r>
              <w:rPr>
                <w:color w:val="000000"/>
                <w:sz w:val="17"/>
              </w:rPr>
              <w:t>Supplier master data, and why it is not an accounting record</w:t>
            </w:r>
          </w:p>
        </w:tc>
      </w:tr>
      <w:tr w:rsidR="00A62A3E" w14:paraId="672CD52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0DD25B4" w14:textId="77777777" w:rsidR="00A62A3E" w:rsidRDefault="00000000">
            <w:pPr>
              <w:spacing w:after="0"/>
            </w:pPr>
            <w:r>
              <w:rPr>
                <w:color w:val="000000"/>
                <w:sz w:val="17"/>
              </w:rPr>
              <w:t>2. Context and Status Model</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EFC1134" w14:textId="77777777" w:rsidR="00A62A3E" w:rsidRDefault="00000000">
            <w:pPr>
              <w:spacing w:after="0"/>
            </w:pPr>
            <w:r>
              <w:rPr>
                <w:color w:val="000000"/>
                <w:sz w:val="17"/>
              </w:rPr>
              <w:t>Snapshots, stable identifiers, and requirement states</w:t>
            </w:r>
          </w:p>
        </w:tc>
      </w:tr>
      <w:tr w:rsidR="00A62A3E" w14:paraId="7ED41ED9"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DFB0A1F" w14:textId="77777777" w:rsidR="00A62A3E" w:rsidRDefault="00000000">
            <w:pPr>
              <w:spacing w:after="0"/>
            </w:pPr>
            <w:r>
              <w:rPr>
                <w:color w:val="000000"/>
                <w:sz w:val="17"/>
              </w:rPr>
              <w:t>3. Actors, Permissions, and Ownership</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2C01AE1" w14:textId="77777777" w:rsidR="00A62A3E" w:rsidRDefault="00000000">
            <w:pPr>
              <w:spacing w:after="0"/>
            </w:pPr>
            <w:r>
              <w:rPr>
                <w:color w:val="000000"/>
                <w:sz w:val="17"/>
              </w:rPr>
              <w:t>Who may onboard, hold, assess, and see bank detail</w:t>
            </w:r>
          </w:p>
        </w:tc>
      </w:tr>
      <w:tr w:rsidR="00A62A3E" w14:paraId="069AF74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AB0675D" w14:textId="77777777" w:rsidR="00A62A3E" w:rsidRDefault="00000000">
            <w:pPr>
              <w:spacing w:after="0"/>
            </w:pPr>
            <w:r>
              <w:rPr>
                <w:color w:val="000000"/>
                <w:sz w:val="17"/>
              </w:rPr>
              <w:t>4. Functional Requirements</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C7A3047" w14:textId="77777777" w:rsidR="00A62A3E" w:rsidRDefault="00000000">
            <w:pPr>
              <w:spacing w:after="0"/>
            </w:pPr>
            <w:r>
              <w:rPr>
                <w:color w:val="000000"/>
                <w:sz w:val="17"/>
              </w:rPr>
              <w:t>Testable behaviour, current evidence, acceptance, and limits</w:t>
            </w:r>
          </w:p>
        </w:tc>
      </w:tr>
      <w:tr w:rsidR="00A62A3E" w14:paraId="1ED4D9E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20E00D8" w14:textId="77777777" w:rsidR="00A62A3E" w:rsidRDefault="00000000">
            <w:pPr>
              <w:spacing w:after="0"/>
            </w:pPr>
            <w:r>
              <w:rPr>
                <w:color w:val="000000"/>
                <w:sz w:val="17"/>
              </w:rPr>
              <w:t>5. Workflows and Lifecycle Rules</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E4316F6" w14:textId="77777777" w:rsidR="00A62A3E" w:rsidRDefault="00000000">
            <w:pPr>
              <w:spacing w:after="0"/>
            </w:pPr>
            <w:r>
              <w:rPr>
                <w:color w:val="000000"/>
                <w:sz w:val="17"/>
              </w:rPr>
              <w:t>Vendor status, hold, and the contract state machine</w:t>
            </w:r>
          </w:p>
        </w:tc>
      </w:tr>
      <w:tr w:rsidR="00A62A3E" w14:paraId="0317AD6E"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B91B8F" w14:textId="77777777" w:rsidR="00A62A3E" w:rsidRDefault="00000000">
            <w:pPr>
              <w:spacing w:after="0"/>
            </w:pPr>
            <w:r>
              <w:rPr>
                <w:color w:val="000000"/>
                <w:sz w:val="17"/>
              </w:rPr>
              <w:t>6. Data Model and Relationships</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631B35" w14:textId="77777777" w:rsidR="00A62A3E" w:rsidRDefault="00000000">
            <w:pPr>
              <w:spacing w:after="0"/>
            </w:pPr>
            <w:r>
              <w:rPr>
                <w:color w:val="000000"/>
                <w:sz w:val="17"/>
              </w:rPr>
              <w:t>Persisted master records and their historical guarantees</w:t>
            </w:r>
          </w:p>
        </w:tc>
      </w:tr>
      <w:tr w:rsidR="00A62A3E" w14:paraId="4AB6E963"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E64FB06" w14:textId="77777777" w:rsidR="00A62A3E" w:rsidRDefault="00000000">
            <w:pPr>
              <w:spacing w:after="0"/>
            </w:pPr>
            <w:r>
              <w:rPr>
                <w:color w:val="000000"/>
                <w:sz w:val="17"/>
              </w:rPr>
              <w:t>7. API and Validation Contracts</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2FEF983" w14:textId="77777777" w:rsidR="00A62A3E" w:rsidRDefault="00000000">
            <w:pPr>
              <w:spacing w:after="0"/>
            </w:pPr>
            <w:r>
              <w:rPr>
                <w:color w:val="000000"/>
                <w:sz w:val="17"/>
              </w:rPr>
              <w:t>Routes, purposes, and typed errors</w:t>
            </w:r>
          </w:p>
        </w:tc>
      </w:tr>
      <w:tr w:rsidR="00A62A3E" w14:paraId="543A6AB0"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2449CA" w14:textId="77777777" w:rsidR="00A62A3E" w:rsidRDefault="00000000">
            <w:pPr>
              <w:spacing w:after="0"/>
            </w:pPr>
            <w:r>
              <w:rPr>
                <w:color w:val="000000"/>
                <w:sz w:val="17"/>
              </w:rPr>
              <w:t>8. Dependencies and Operational Evidence</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92FA785" w14:textId="77777777" w:rsidR="00A62A3E" w:rsidRDefault="00000000">
            <w:pPr>
              <w:spacing w:after="0"/>
            </w:pPr>
            <w:r>
              <w:rPr>
                <w:color w:val="000000"/>
                <w:sz w:val="17"/>
              </w:rPr>
              <w:t>Sourcing, payables, notification, and audit contracts</w:t>
            </w:r>
          </w:p>
        </w:tc>
      </w:tr>
      <w:tr w:rsidR="00A62A3E" w14:paraId="7A915477"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01BC5D1" w14:textId="77777777" w:rsidR="00A62A3E" w:rsidRDefault="00000000">
            <w:pPr>
              <w:spacing w:after="0"/>
            </w:pPr>
            <w:r>
              <w:rPr>
                <w:color w:val="000000"/>
                <w:sz w:val="17"/>
              </w:rPr>
              <w:t>9. Needs Attention</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480C1A3" w14:textId="77777777" w:rsidR="00A62A3E" w:rsidRDefault="00000000">
            <w:pPr>
              <w:spacing w:after="0"/>
            </w:pPr>
            <w:r>
              <w:rPr>
                <w:color w:val="000000"/>
                <w:sz w:val="17"/>
              </w:rPr>
              <w:t>Current risks and required completion</w:t>
            </w:r>
          </w:p>
        </w:tc>
      </w:tr>
      <w:tr w:rsidR="00A62A3E" w14:paraId="42B7F5B3"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46259A9" w14:textId="77777777" w:rsidR="00A62A3E" w:rsidRDefault="00000000">
            <w:pPr>
              <w:spacing w:after="0"/>
            </w:pPr>
            <w:r>
              <w:rPr>
                <w:color w:val="000000"/>
                <w:sz w:val="17"/>
              </w:rPr>
              <w:t>10. MRD Traceability</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C16689C" w14:textId="77777777" w:rsidR="00A62A3E" w:rsidRDefault="00000000">
            <w:pPr>
              <w:spacing w:after="0"/>
            </w:pPr>
            <w:r>
              <w:rPr>
                <w:color w:val="000000"/>
                <w:sz w:val="17"/>
              </w:rPr>
              <w:t>Module 21 capability mapping</w:t>
            </w:r>
          </w:p>
        </w:tc>
      </w:tr>
      <w:tr w:rsidR="00A62A3E" w14:paraId="67BB0D7C"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659A361" w14:textId="77777777" w:rsidR="00A62A3E" w:rsidRDefault="00000000">
            <w:pPr>
              <w:spacing w:after="0"/>
            </w:pPr>
            <w:r>
              <w:rPr>
                <w:color w:val="000000"/>
                <w:sz w:val="17"/>
              </w:rPr>
              <w:t>11. Change Log</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7DD816D" w14:textId="77777777" w:rsidR="00A62A3E" w:rsidRDefault="00000000">
            <w:pPr>
              <w:spacing w:after="0"/>
            </w:pPr>
            <w:r>
              <w:rPr>
                <w:color w:val="000000"/>
                <w:sz w:val="17"/>
              </w:rPr>
              <w:t>Independent FRD revision history</w:t>
            </w:r>
          </w:p>
        </w:tc>
      </w:tr>
    </w:tbl>
    <w:p w14:paraId="5F49CB47" w14:textId="77777777" w:rsidR="00A62A3E" w:rsidRDefault="00000000">
      <w:r>
        <w:br w:type="page"/>
      </w:r>
    </w:p>
    <w:p w:rsidR="00A62A3E" w:rsidRDefault="00000000">
      <w:pPr>
        <w:pStyle w:val="Heading1"/>
        <w:keepNext/>
        <w:pBdr>
          <w:bottom w:val="single" w:sz="14" w:space="5" w:color="355B9D"/>
        </w:pBdr>
      </w:pPr>
      <w:r>
        <w:t>1. Purpose and Scope</w:t>
      </w:r>
    </w:p>
    <w:p w:rsidR="00A62A3E" w:rsidRDefault="00000000">
      <w:pPr>
        <w:spacing w:after="120"/>
      </w:pPr>
      <w:r>
        <w:t xml:space="preserve">Module 21 is the supplier side of master data: who the platform buys from, what they are allowed to be paid for, what has been agreed with them, and how well they have performed. It raises no journal of its own. Its value is that every purchasing document downstream can rely on one governed record, and that changing that record cannot rewrite history already embedded in documents.</w:t>
      </w:r>
    </w:p>
    <w:p w:rsidR="00A62A3E" w:rsidRDefault="00000000">
      <w:pPr>
        <w:pStyle w:val="Heading2"/>
        <w:keepNext/>
        <w:pBdr>
          <w:bottom w:val="single" w:sz="8" w:space="5" w:color="355B9D"/>
        </w:pBdr>
      </w:pPr>
      <w:r>
        <w:t>1.1 In Scope</w:t>
      </w:r>
    </w:p>
    <w:tbl>
      <w:tblPr>
        <w:tblW w:w="10468" w:type="dxa"/>
        <w:jc w:val="center"/>
        <w:tblLayout w:type="fixed"/>
        <w:tblLook w:val="04A0" w:firstRow="1" w:lastRow="0" w:firstColumn="1" w:lastColumn="0" w:noHBand="0" w:noVBand="1"/>
      </w:tblPr>
      <w:tblGrid>
        <w:gridCol w:w="2400"/>
        <w:gridCol w:w="8068"/>
      </w:tblGrid>
      <w:tr w:rsidR="00A62A3E">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Area</w:t>
            </w:r>
          </w:p>
        </w:tc>
        <w:tc>
          <w:tcPr>
            <w:tcW w:w="8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Responsibility</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Vendor categories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classification tree, its codes, and category-level insight.</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Vendor profile</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Identity, status, contacts, tax and bank detail, and the field-level policy over the sensitive parts.</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Risk and compliance</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KYC status and risk indicators, and the hold flag that blocks new orders and payments.</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Duplicate control</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Refusing a second vendor that is really the same one, race-safely.</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Catalogue</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Reusable purchasing defaults per item, and realised usage insight.</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Contracts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Term agreements, their milestones, activation, renewal, termination, expiry, and the renewal chase list.</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Assessment and insight</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Point-in-time scorecards, vendor spend, and payment-status visibility.</w:t>
            </w:r>
          </w:p>
        </w:tc>
      </w:tr>
    </w:tbl>
    <w:p w:rsidR="00A62A3E" w:rsidRDefault="00000000">
      <w:pPr>
        <w:pStyle w:val="Heading2"/>
        <w:keepNext/>
        <w:pBdr>
          <w:bottom w:val="single" w:sz="8" w:space="5" w:color="355B9D"/>
        </w:pBdr>
      </w:pPr>
      <w:r>
        <w:t>1.2 Out of Scope and Relocated Responsibilities</w:t>
      </w:r>
    </w:p>
    <w:tbl>
      <w:tblPr>
        <w:tblW w:w="10468" w:type="dxa"/>
        <w:jc w:val="center"/>
        <w:tblLayout w:type="fixed"/>
        <w:tblLook w:val="04A0" w:firstRow="1" w:lastRow="0" w:firstColumn="1" w:lastColumn="0" w:noHBand="0" w:noVBand="1"/>
      </w:tblPr>
      <w:tblGrid>
        <w:gridCol w:w="4200"/>
        <w:gridCol w:w="6268"/>
      </w:tblGrid>
      <w:tr w:rsidR="00A62A3E">
        <w:trPr>
          <w:tblHeader/>
          <w:jc w:val="center"/>
        </w:trPr>
        <w:tc>
          <w:tcPr>
            <w:tcW w:w="4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Not owned here</w:t>
            </w:r>
          </w:p>
        </w:tc>
        <w:tc>
          <w:tcPr>
            <w:tcW w:w="6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Owner</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Requisitions, RFQs, quotations, and award</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22, Procurement &amp; Requisitions.</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Purchase orders, receipts, bills, and payments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23, Purchase Orders, Delivery &amp; AP. This module supplies the vendor and the gates; that one moves the money.</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Any accounting entry</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19, Finance &amp; Accounting. Nothing here posts.</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Stock</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24, Inventory &amp; Stock Ledger.</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Delivering an invitation or a renewal warning</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8, Notifications &amp; Delivery.</w:t>
            </w:r>
          </w:p>
        </w:tc>
      </w:tr>
    </w:tbl>
    <w:p w:rsidR="00A62A3E" w:rsidRDefault="00000000">
      <w:pPr>
        <w:pStyle w:val="Heading1"/>
        <w:keepNext/>
        <w:pBdr>
          <w:bottom w:val="single" w:sz="14" w:space="5" w:color="355B9D"/>
        </w:pBdr>
      </w:pPr>
      <w:r>
        <w:t>2. Context and Status Model</w:t>
      </w:r>
    </w:p>
    <w:p w:rsidR="00A62A3E" w:rsidRDefault="00000000">
      <w:pPr>
        <w:spacing w:after="120"/>
      </w:pPr>
      <w:r>
        <w:t xml:space="preserve">Master data has one hard obligation in a system that keeps books: it must be editable without falsifying the past. This module meets it by snapshotting into documents rather than pointing at live values, so a catalogue price change, a category rename, or a deactivation leaves every issued document reading exactly as it did.</w:t>
      </w:r>
    </w:p>
    <w:p w:rsidR="00A62A3E" w:rsidRDefault="00000000">
      <w:pPr>
        <w:pStyle w:val="Heading2"/>
        <w:keepNext/>
        <w:pBdr>
          <w:bottom w:val="single" w:sz="8" w:space="5" w:color="355B9D"/>
        </w:pBdr>
      </w:pPr>
      <w:r>
        <w:t>2.1 Status Model</w:t>
      </w:r>
    </w:p>
    <w:tbl>
      <w:tblPr>
        <w:tblW w:w="10468" w:type="dxa"/>
        <w:jc w:val="center"/>
        <w:tblLayout w:type="fixed"/>
        <w:tblLook w:val="04A0" w:firstRow="1" w:lastRow="0" w:firstColumn="1" w:lastColumn="0" w:noHBand="0" w:noVBand="1"/>
      </w:tblPr>
      <w:tblGrid>
        <w:gridCol w:w="3000"/>
        <w:gridCol w:w="7468"/>
      </w:tblGrid>
      <w:tr w:rsidR="00A62A3E">
        <w:trPr>
          <w:tblHeader/>
          <w:jc w:val="center"/>
        </w:trPr>
        <w:tc>
          <w:tcPr>
            <w:tcW w:w="3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State</w:t>
            </w:r>
          </w:p>
        </w:tc>
        <w:tc>
          <w:tcPr>
            <w:tcW w:w="7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Meaning</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Implemented</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stated behaviour is present in the inspected backend code and exercised by its tests.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Implemented with limits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behaviour exists and is usable, but a stated boundary applies.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Partial</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Part of the requirement is present; the rest is named in Section 9.</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Not implemented</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No backend evidence was found for the stated behaviour.</w:t>
            </w:r>
          </w:p>
        </w:tc>
      </w:tr>
    </w:tbl>
    <w:p w:rsidR="00A62A3E" w:rsidRDefault="00000000">
      <w:pPr>
        <w:pStyle w:val="Heading1"/>
        <w:keepNext/>
        <w:pBdr>
          <w:bottom w:val="single" w:sz="14" w:space="5" w:color="355B9D"/>
        </w:pBdr>
      </w:pPr>
      <w:r>
        <w:t>3. Actors, Permissions, and Ownership</w:t>
      </w:r>
    </w:p>
    <w:tbl>
      <w:tblPr>
        <w:tblW w:w="10468" w:type="dxa"/>
        <w:jc w:val="center"/>
        <w:tblLayout w:type="fixed"/>
        <w:tblLook w:val="04A0" w:firstRow="1" w:lastRow="0" w:firstColumn="1" w:lastColumn="0" w:noHBand="0" w:noVBand="1"/>
      </w:tblPr>
      <w:tblGrid>
        <w:gridCol w:w="2100"/>
        <w:gridCol w:w="4600"/>
        <w:gridCol w:w="3768"/>
      </w:tblGrid>
      <w:tr w:rsidR="00A62A3E">
        <w:trPr>
          <w:tblHeader/>
          <w:jc w:val="center"/>
        </w:trPr>
        <w:tc>
          <w:tcPr>
            <w:tcW w:w="21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Actor</w:t>
            </w:r>
          </w:p>
        </w:tc>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May do</w:t>
            </w:r>
          </w:p>
        </w:tc>
        <w:tc>
          <w:tcPr>
            <w:tcW w:w="37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Governed by</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Vendor administrator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Onboard and edit vendors, set status, hold and release.</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procurement.vendor.create/.update (SENSITIVE)</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Category owner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Maintain the classification tree.</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procurement.category.create, .update (SENSITIVE)</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Buyer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Maintain catalogue defaults and read vendor insight.</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procurement.catalog_item.*, procurement.report.view</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Contract manager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Create contracts and milestones, activate, renew, terminate, complete a milestone.</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procurement.contract.*</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Assessor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Record a point-in-time scorecard.</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procurement.vendor_assessment.create (SENSITIVE)</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Payments-facing reader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See a vendor's bank and tax detail.</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sensitive-field key, on both read and write paths</w:t>
            </w:r>
          </w:p>
        </w:tc>
      </w:tr>
    </w:tbl>
    <w:tbl>
      <w:tblPr>
        <w:tblW w:w="10468" w:type="dxa"/>
        <w:jc w:val="center"/>
        <w:tblLayout w:type="fixed"/>
        <w:tblLook w:val="04A0" w:firstRow="1" w:lastRow="0" w:firstColumn="1" w:lastColumn="0" w:noHBand="0" w:noVBand="1"/>
      </w:tblPr>
      <w:tblGrid>
        <w:gridCol w:w="10468"/>
      </w:tblGrid>
      <w:tr w:rsidR="00A62A3E">
        <w:trPr>
          <w:jc w:val="center"/>
        </w:trPr>
        <w:tc>
          <w:tcPr>
            <w:tcW w:w="10468" w:type="dxa"/>
            <w:tcBorders>
              <w:top w:val="single" w:sz="8" w:space="0" w:color="9DB8DF"/>
              <w:left w:val="single" w:sz="8" w:space="0" w:color="9DB8DF"/>
              <w:bottom w:val="single" w:sz="8" w:space="0" w:color="9DB8DF"/>
              <w:right w:val="single" w:sz="8" w:space="0" w:color="9DB8DF"/>
            </w:tcBorders>
            <w:shd w:val="clear" w:color="auto" w:fill="EAF0FA"/>
            <w:tcMar>
              <w:top w:w="70" w:type="dxa"/>
              <w:left w:w="90" w:type="dxa"/>
              <w:bottom w:w="70" w:type="dxa"/>
              <w:right w:w="90" w:type="dxa"/>
            </w:tcMar>
          </w:tcPr>
          <w:p w:rsidR="00A62A3E" w:rsidRDefault="00000000">
            <w:pPr>
              <w:keepNext/>
              <w:spacing w:after="40"/>
            </w:pPr>
            <w:r>
              <w:rPr>
                <w:b/>
                <w:color w:val="1F4E9C"/>
                <w:sz w:val="17"/>
              </w:rPr>
              <w:t>FIELD-LEVEL PROTECTION, ON BOTH PATHS</w:t>
            </w:r>
          </w:p>
          <w:p w:rsidR="00A62A3E" w:rsidRDefault="00000000">
            <w:pPr>
              <w:spacing w:after="20"/>
              <w:ind w:left="86" w:hanging="86"/>
            </w:pPr>
            <w:r>
              <w:rPr>
                <w:sz w:val="16"/>
              </w:rPr>
              <w:t xml:space="preserve">• Contact, tax and bank fields are protected by field-level RBAC on serialization and on mutation. Hiding a field on read while leaving it writable would be a hole rather than a control, so both directions are gated by the same policy.</w:t>
            </w:r>
          </w:p>
          <w:p w:rsidR="00A62A3E" w:rsidRDefault="00000000">
            <w:pPr>
              <w:spacing w:after="20"/>
              <w:ind w:left="86" w:hanging="86"/>
            </w:pPr>
            <w:r>
              <w:rPr>
                <w:sz w:val="16"/>
              </w:rPr>
              <w:t xml:space="preserve">• Vendor bank detail is the field a fraudster changes, not the one they read. The mutation path is the important half.</w:t>
            </w:r>
          </w:p>
        </w:tc>
      </w:tr>
    </w:tbl>
    <w:p w:rsidR="00A62A3E" w:rsidRDefault="00000000">
      <w:pPr>
        <w:pStyle w:val="Heading1"/>
        <w:keepNext/>
        <w:pBdr>
          <w:bottom w:val="single" w:sz="14" w:space="5" w:color="355B9D"/>
        </w:pBdr>
      </w:pPr>
      <w:r>
        <w:t>4. Functional Requirements</w:t>
      </w:r>
    </w:p>
    <w:p w:rsidR="00A62A3E" w:rsidRDefault="00000000">
      <w:pPr>
        <w:pStyle w:val="Heading2"/>
        <w:keepNext/>
        <w:pBdr>
          <w:bottom w:val="single" w:sz="8" w:space="5" w:color="355B9D"/>
        </w:pBdr>
      </w:pPr>
      <w:r>
        <w:t>FR-001 Classify Vendors Without Breaking History</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FR-001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Categories must be reorganisable without changing what past documents said.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Category codes and historical category links are treated as stable business identifiers. An update may deactivate master data but does not rewrite snapshots already embedded in purchase documents.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renamed or retired category leaves issued documents reading as they did when issued.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FR-002 Hold Vendor Identity and Its Sensitive Parts</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FR-002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vendor record must carry what is needed to trade and to pay, with the payable detail protected.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profile carries identity, status, contacts, tax configuration including the withholding-tax code that drives deduction at payment, and bank detail. The sensitive fields are gated by field-level RBAC on both serialization and mutation.</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caller without the sensitive key neither sees nor can change bank detail. The withholding code is part of the vendor record, so a payment cannot silently deduct at a rate nobody configured.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FR-003 Refuse a Duplicate Vendor, Race-Safely</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FR-003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same supplier must not be onboardable twice, even by two people at once.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Duplicate detection is enforced by a database constraint as the final guard, with the violation translated into a typed error rather than a 500. The same treatment applies to categories.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race between two simultaneous creates resolves to one vendor and one clear error, because the check is the constraint rather than a prior read.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Detection is on the identifying fields the constraint covers; a supplier entered under a genuinely different name and code is not caught.</w:t>
            </w:r>
          </w:p>
        </w:tc>
      </w:tr>
    </w:tbl>
    <w:p w:rsidR="00A62A3E" w:rsidRDefault="00000000">
      <w:pPr>
        <w:spacing w:after="0"/>
      </w:pPr>
    </w:p>
    <w:p w:rsidR="00A62A3E" w:rsidRDefault="00000000">
      <w:pPr>
        <w:pStyle w:val="Heading2"/>
        <w:keepNext/>
        <w:pBdr>
          <w:bottom w:val="single" w:sz="8" w:space="5" w:color="355B9D"/>
        </w:pBdr>
      </w:pPr>
      <w:r>
        <w:t>FR-004 Block a Vendor From Being Paid</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FR-004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supplier under investigation must be stoppable without deleting them.</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vendor carries a hold flag and a KYC status. Both are payment gates the payables service checks before cutting a payment, and the hold also blocks new purchase orders.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gate is enforced in the payables service rather than only in a screen, so an API caller hits it too. The record survives, so history and open documents remain readable.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FR-005 Keep Purchasing Defaults Without Freezing Them</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FR-005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buyer should get sensible line defaults without those defaults later rewriting an issued order.</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Catalogue records are reusable defaults, not accounting entries. Historical purchase-order lines retain their own description, unit, tax and price snapshots when a catalogue item changes or is deactivated.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Changing a price affects the next document, never a previous one.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FR-006 Run a Vendor Contract Through One State Machine</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FR-006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Contract lifecycle transitions must be consistent wherever they are triggered from.</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Contracts record the commercial envelope, period, value and payment terms, with an optional list of milestones. Activation, renewal, termination and expiry are delegated to the contract service, so the endpoints do not each hold their own version of the rules. Edits change only non-terminal terms and append milestones.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Contract references and completed milestones are historical evidence and are not rewritten. Linked purchase orders are readable from the contract.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overlay has no ledger effect, so a contract's value is a commercial commitment rather than an encumbrance the books enforce.</w:t>
            </w:r>
          </w:p>
        </w:tc>
      </w:tr>
    </w:tbl>
    <w:p w:rsidR="00A62A3E" w:rsidRDefault="00000000">
      <w:pPr>
        <w:spacing w:after="0"/>
      </w:pPr>
    </w:p>
    <w:p w:rsidR="00A62A3E" w:rsidRDefault="00000000">
      <w:pPr>
        <w:pStyle w:val="Heading2"/>
        <w:keepNext/>
        <w:pBdr>
          <w:bottom w:val="single" w:sz="8" w:space="5" w:color="355B9D"/>
        </w:pBdr>
      </w:pPr>
      <w:r>
        <w:t>FR-007 Chase Renewals Before They Lapse</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FR-007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term agreement should be visible as expiring before it expires.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renewals endpoint surfaces the contracts a buyer should chase, and expiry is a modelled transition rather than an absence of one.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lapsed contract is recorded as expired rather than silently ceasing to apply.</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list must be looked at; nothing pushes a renewal warning on its own schedule from this module.</w:t>
            </w:r>
          </w:p>
        </w:tc>
      </w:tr>
    </w:tbl>
    <w:p w:rsidR="00A62A3E" w:rsidRDefault="00000000">
      <w:pPr>
        <w:spacing w:after="0"/>
      </w:pPr>
    </w:p>
    <w:p w:rsidR="00A62A3E" w:rsidRDefault="00000000">
      <w:pPr>
        <w:pStyle w:val="Heading2"/>
        <w:keepNext/>
        <w:pBdr>
          <w:bottom w:val="single" w:sz="8" w:space="5" w:color="355B9D"/>
        </w:pBdr>
      </w:pPr>
      <w:r>
        <w:t>FR-008 Score a Vendor at a Point in Time</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FR-008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Performance must be recordable as evidence, not as a mutable opinion.</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Assessments are point-in-time scorecards, list and create only, with no edit path. Viewing rides the reporting key because it feeds the vendor performance report; recording one needs its own dedicated key.</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past assessment cannot be revised to fit a later decision, which is what makes the series meaningful.</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FR-009 Show What a Vendor Has Cost and Is Owed</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FR-009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buyer needs realised spend and payment position per vendor, not just documents.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Vendor insight, category insight, catalogue usage insight, the vendor spend analysis and the vendor performance report are served as entity-scoped reads over the AP sub-ledger.</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figures come from the sub-ledger the payments actually posted to, so they cannot disagree with the accounts.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FR-010 Account for Money Paid Before a Bill</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FR-010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Paying a supplier ahead of their invoice must not read as the supplier owing the entity money.</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vendor payment's debit is split at source: accounts payable is debited only for what the payment actually settles, and anything paid ahead of a bill lands in the vendor-advance asset. Applying that advance to a later bill reclassifies it, debiting AP and crediting vendor advances, on the later of the two documents' dates.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Debiting AP for the whole gross would put a debit balance on a liability, which reads as suppliers owing the entity. The truth is that the entity is out of pocket and the vendor owes goods, which is an asset, and that is what the split records.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posting and the drawdown live in Module 23's payables service; this module supplies the vendor. The MRD still carries this as an open item against Module 21. See Section 9.</w:t>
            </w:r>
          </w:p>
        </w:tc>
      </w:tr>
    </w:tbl>
    <w:p w:rsidR="00A62A3E" w:rsidRDefault="00000000">
      <w:pPr>
        <w:spacing w:after="0"/>
      </w:pPr>
    </w:p>
    <w:p w:rsidR="00A62A3E" w:rsidRDefault="00000000">
      <w:pPr>
        <w:pStyle w:val="Heading1"/>
        <w:keepNext/>
        <w:pBdr>
          <w:bottom w:val="single" w:sz="14" w:space="5" w:color="355B9D"/>
        </w:pBdr>
      </w:pPr>
      <w:r>
        <w:t>5. Workflows and Lifecycle Rules</w:t>
      </w:r>
    </w:p>
    <w:p w:rsidR="00A62A3E" w:rsidRDefault="00000000">
      <w:pPr>
        <w:pStyle w:val="Heading2"/>
        <w:keepNext/>
        <w:pBdr>
          <w:bottom w:val="single" w:sz="8" w:space="5" w:color="355B9D"/>
        </w:pBdr>
      </w:pPr>
      <w:r>
        <w:t>5.1 Vendor Status and Hold</w:t>
      </w:r>
    </w:p>
    <w:tbl>
      <w:tblPr>
        <w:tblW w:w="10468" w:type="dxa"/>
        <w:jc w:val="center"/>
        <w:tblLayout w:type="fixed"/>
        <w:tblLook w:val="04A0" w:firstRow="1" w:lastRow="0" w:firstColumn="1" w:lastColumn="0" w:noHBand="0" w:noVBand="1"/>
      </w:tblPr>
      <w:tblGrid>
        <w:gridCol w:w="2400"/>
        <w:gridCol w:w="8068"/>
      </w:tblGrid>
      <w:tr w:rsidR="00A62A3E">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Control</w:t>
            </w:r>
          </w:p>
        </w:tc>
        <w:tc>
          <w:tcPr>
            <w:tcW w:w="8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Effect</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Status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Governs whether the vendor may be selected on new documents.</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On hold</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Blocks new purchase orders and blocks payment, checked in the payables service rather than only in a screen.</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KYC status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second payment gate, independent of the hold flag.</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Deactivation</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Removes the vendor from future selection; documents already issued keep their snapshots.</w:t>
            </w:r>
          </w:p>
        </w:tc>
      </w:tr>
    </w:tbl>
    <w:p w:rsidR="00A62A3E" w:rsidRDefault="00000000">
      <w:pPr>
        <w:pStyle w:val="Heading2"/>
        <w:keepNext/>
        <w:pBdr>
          <w:bottom w:val="single" w:sz="8" w:space="5" w:color="355B9D"/>
        </w:pBdr>
      </w:pPr>
      <w:r>
        <w:t>5.2 Contract Lifecycle</w:t>
      </w:r>
    </w:p>
    <w:tbl>
      <w:tblPr>
        <w:tblW w:w="10468" w:type="dxa"/>
        <w:jc w:val="center"/>
        <w:tblLayout w:type="fixed"/>
        <w:tblLook w:val="04A0" w:firstRow="1" w:lastRow="0" w:firstColumn="1" w:lastColumn="0" w:noHBand="0" w:noVBand="1"/>
      </w:tblPr>
      <w:tblGrid>
        <w:gridCol w:w="2000"/>
        <w:gridCol w:w="4600"/>
        <w:gridCol w:w="3868"/>
      </w:tblGrid>
      <w:tr w:rsidR="00A62A3E">
        <w:trPr>
          <w:tblHeader/>
          <w:jc w:val="center"/>
        </w:trPr>
        <w:tc>
          <w:tcPr>
            <w:tcW w:w="2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State</w:t>
            </w:r>
          </w:p>
        </w:tc>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Entered when</w:t>
            </w:r>
          </w:p>
        </w:tc>
        <w:tc>
          <w:tcPr>
            <w:tcW w:w="3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Leaves to</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DRAFT</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Created with its terms and milestones.</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ACTIVE.</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ACTIVE</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Activated through the contract service.</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RENEWED, TERMINATED, or EXPIRED.</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RENEWED</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Extended into a new period.</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ACTIVE again.</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TERMINATED</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Ended deliberately before its date.</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Terminal.</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EXPIRED</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Reached its end date without renewal.</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Terminal.</w:t>
            </w:r>
          </w:p>
        </w:tc>
      </w:tr>
    </w:tbl>
    <w:p w:rsidR="00A62A3E" w:rsidRDefault="00000000">
      <w:pPr>
        <w:pStyle w:val="Heading1"/>
        <w:keepNext/>
        <w:pBdr>
          <w:bottom w:val="single" w:sz="14" w:space="5" w:color="355B9D"/>
        </w:pBdr>
      </w:pPr>
      <w:r>
        <w:t>6. Data Model and Relationships</w:t>
      </w:r>
    </w:p>
    <w:tbl>
      <w:tblPr>
        <w:tblW w:w="10468" w:type="dxa"/>
        <w:jc w:val="center"/>
        <w:tblLayout w:type="fixed"/>
        <w:tblLook w:val="04A0" w:firstRow="1" w:lastRow="0" w:firstColumn="1" w:lastColumn="0" w:noHBand="0" w:noVBand="1"/>
      </w:tblPr>
      <w:tblGrid>
        <w:gridCol w:w="2400"/>
        <w:gridCol w:w="4200"/>
        <w:gridCol w:w="3868"/>
      </w:tblGrid>
      <w:tr w:rsidR="00A62A3E">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Model</w:t>
            </w:r>
          </w:p>
        </w:tc>
        <w:tc>
          <w:tcPr>
            <w:tcW w:w="4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Holds</w:t>
            </w:r>
          </w:p>
        </w:tc>
        <w:tc>
          <w:tcPr>
            <w:tcW w:w="3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Notes</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VendorCategory</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classification and its code.</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Codes and historical links are stable identifiers.</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Vendor</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Identity, status, contacts, tax, bank, hold and KYC.</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Sensitive fields gated on read and write.</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CatalogItem</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Reusable purchasing defaults.</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Snapshotted into document lines, never referenced live.</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VendorContract</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commercial envelope and terms.</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Lifecycle owned by the contract service.</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ContractMilestone</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One deliverable and its completion.</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Completed milestones are immutable evidence.</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VendorAssessment</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point-in-time scorecard.</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List and create only; no edit path.</w:t>
            </w:r>
          </w:p>
        </w:tc>
      </w:tr>
    </w:tbl>
    <w:p w:rsidR="00A62A3E" w:rsidRDefault="00000000">
      <w:pPr>
        <w:pStyle w:val="Heading1"/>
        <w:keepNext/>
        <w:pBdr>
          <w:bottom w:val="single" w:sz="14" w:space="5" w:color="355B9D"/>
        </w:pBdr>
      </w:pPr>
      <w:r>
        <w:t>7. API and Validation Contracts</w:t>
      </w:r>
    </w:p>
    <w:p w:rsidR="00A62A3E" w:rsidRDefault="00000000">
      <w:pPr>
        <w:spacing w:after="120"/>
      </w:pPr>
      <w:r>
        <w:t xml:space="preserve">All routes are mounted under /v1/procurement/ and require an asserted entity. The routes below are Module 21's.</w:t>
      </w:r>
    </w:p>
    <w:p w:rsidR="00A62A3E" w:rsidRDefault="00000000">
      <w:pPr>
        <w:pStyle w:val="Heading2"/>
        <w:keepNext/>
        <w:pBdr>
          <w:bottom w:val="single" w:sz="8" w:space="5" w:color="355B9D"/>
        </w:pBdr>
      </w:pPr>
      <w:r>
        <w:t>7.1 Vendors, Categories, and Catalogue</w:t>
      </w:r>
    </w:p>
    <w:tbl>
      <w:tblPr>
        <w:tblW w:w="10468" w:type="dxa"/>
        <w:jc w:val="center"/>
        <w:tblLayout w:type="fixed"/>
        <w:tblLook w:val="04A0" w:firstRow="1" w:lastRow="0" w:firstColumn="1" w:lastColumn="0" w:noHBand="0" w:noVBand="1"/>
      </w:tblPr>
      <w:tblGrid>
        <w:gridCol w:w="4600"/>
        <w:gridCol w:w="5868"/>
      </w:tblGrid>
      <w:tr w:rsidR="00A62A3E">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Method and path</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Purpose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/categories/, /categories/{id}/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classification tree.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/categories/insights/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Spend and activity by category.</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/vendors/, /vendors/{id}/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supplier record.</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/vendors/summary/</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Counts and status across suppliers.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/vendors/{id}/insights/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Realised spend and payment position.</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/catalog-items/, /catalog-items/{id}/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Purchasing defaults.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/catalog-items/{id}/insights/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Realised usage of one item.</w:t>
            </w:r>
          </w:p>
        </w:tc>
      </w:tr>
    </w:tbl>
    <w:p w:rsidR="00A62A3E" w:rsidRDefault="00000000">
      <w:pPr>
        <w:pStyle w:val="Heading2"/>
        <w:keepNext/>
        <w:pBdr>
          <w:bottom w:val="single" w:sz="8" w:space="5" w:color="355B9D"/>
        </w:pBdr>
      </w:pPr>
      <w:r>
        <w:t>7.2 Contracts and Assessments</w:t>
      </w:r>
    </w:p>
    <w:tbl>
      <w:tblPr>
        <w:tblW w:w="10468" w:type="dxa"/>
        <w:jc w:val="center"/>
        <w:tblLayout w:type="fixed"/>
        <w:tblLook w:val="04A0" w:firstRow="1" w:lastRow="0" w:firstColumn="1" w:lastColumn="0" w:noHBand="0" w:noVBand="1"/>
      </w:tblPr>
      <w:tblGrid>
        <w:gridCol w:w="4600"/>
        <w:gridCol w:w="5868"/>
      </w:tblGrid>
      <w:tr w:rsidR="00A62A3E">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Method and path</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Purpose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/contracts/, /contracts/{id}/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Term agreements.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/contracts/summary/, /contracts/renewals/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Position, and what to chase.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/contracts/{id}/linked-pos/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Orders raised against a contract.</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/contracts/{id}/activate/, /renew/, /terminate/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lifecycle, through the contract service.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/contracts/{id}/milestones/{id}/complete/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Tick off a deliverable.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/vendor-assessments/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Read and record scorecards.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/reports/vendor-performance/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Performance across suppliers.</w:t>
            </w:r>
          </w:p>
        </w:tc>
      </w:tr>
    </w:tbl>
    <w:p w:rsidR="00A62A3E" w:rsidRDefault="00000000">
      <w:pPr>
        <w:pStyle w:val="Heading2"/>
        <w:keepNext/>
        <w:pBdr>
          <w:bottom w:val="single" w:sz="8" w:space="5" w:color="355B9D"/>
        </w:pBdr>
      </w:pPr>
      <w:r>
        <w:t>7.3 Typed Errors</w:t>
      </w:r>
    </w:p>
    <w:tbl>
      <w:tblPr>
        <w:tblW w:w="10468" w:type="dxa"/>
        <w:jc w:val="center"/>
        <w:tblLayout w:type="fixed"/>
        <w:tblLook w:val="04A0" w:firstRow="1" w:lastRow="0" w:firstColumn="1" w:lastColumn="0" w:noHBand="0" w:noVBand="1"/>
      </w:tblPr>
      <w:tblGrid>
        <w:gridCol w:w="4600"/>
        <w:gridCol w:w="5868"/>
      </w:tblGrid>
      <w:tr w:rsidR="00A62A3E">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Condition</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Answer</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Creating a vendor that duplicates an existing one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 by the database constraint, returned as a typed duplicate error.</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Creating a duplicate category</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 the same way.</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Paying a vendor on hold, or failing KYC</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 in the payables service, not only in the screen.</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Editing a terminal contract term, or a completed milestone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Reading or writing bank detail without the sensitive key</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w:t>
            </w:r>
          </w:p>
        </w:tc>
      </w:tr>
    </w:tbl>
    <w:p w:rsidR="00A62A3E" w:rsidRDefault="00000000">
      <w:pPr>
        <w:pStyle w:val="Heading1"/>
        <w:keepNext/>
        <w:pBdr>
          <w:bottom w:val="single" w:sz="14" w:space="5" w:color="355B9D"/>
        </w:pBdr>
      </w:pPr>
      <w:r>
        <w:t>8. Dependencies and Operational Evidence</w:t>
      </w:r>
    </w:p>
    <w:tbl>
      <w:tblPr>
        <w:tblW w:w="10468" w:type="dxa"/>
        <w:jc w:val="center"/>
        <w:tblLayout w:type="fixed"/>
        <w:tblLook w:val="04A0" w:firstRow="1" w:lastRow="0" w:firstColumn="1" w:lastColumn="0" w:noHBand="0" w:noVBand="1"/>
      </w:tblPr>
      <w:tblGrid>
        <w:gridCol w:w="3000"/>
        <w:gridCol w:w="7468"/>
      </w:tblGrid>
      <w:tr w:rsidR="00A62A3E">
        <w:trPr>
          <w:tblHeader/>
          <w:jc w:val="center"/>
        </w:trPr>
        <w:tc>
          <w:tcPr>
            <w:tcW w:w="3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Dependency</w:t>
            </w:r>
          </w:p>
        </w:tc>
        <w:tc>
          <w:tcPr>
            <w:tcW w:w="7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Contract</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22, Procurement &amp; Requisitions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Invites these vendors to quote and defaults requisition lines from this catalogue.</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23, Purchase Orders, Delivery &amp; AP</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Enforces the hold and KYC gates at payment, applies the withholding code, and owns the advance posting and drawdown described in FR-010.</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19, Finance &amp; Accounting</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Owns the accounts the downstream postings touch and the audit record this module writes into.</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4, Roles &amp; Permissions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Supplies the keys and the field-level policy over contacts, tax and bank detail.</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8, Notifications &amp; Delivery</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Delivers invitations and renewal correspondence.</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Seeding</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seed_procurement_permissions registers the keys.</w:t>
            </w:r>
          </w:p>
        </w:tc>
      </w:tr>
    </w:tbl>
    <w:p w:rsidR="00A62A3E" w:rsidRDefault="00000000">
      <w:pPr>
        <w:pStyle w:val="Heading1"/>
        <w:keepNext/>
        <w:pBdr>
          <w:bottom w:val="single" w:sz="14" w:space="5" w:color="355B9D"/>
        </w:pBdr>
      </w:pPr>
      <w:r>
        <w:t>9. Needs Attention</w:t>
      </w:r>
    </w:p>
    <w:p w:rsidR="00A62A3E" w:rsidRDefault="00000000">
      <w:pPr>
        <w:spacing w:after="120"/>
      </w:pPr>
      <w:r>
        <w:t xml:space="preserve">These are current risks and gaps, not history.</w:t>
      </w:r>
    </w:p>
    <w:tbl>
      <w:tblPr>
        <w:tblW w:w="10468" w:type="dxa"/>
        <w:jc w:val="center"/>
        <w:tblLayout w:type="fixed"/>
        <w:tblLook w:val="04A0" w:firstRow="1" w:lastRow="0" w:firstColumn="1" w:lastColumn="0" w:noHBand="0" w:noVBand="1"/>
      </w:tblPr>
      <w:tblGrid>
        <w:gridCol w:w="10468"/>
      </w:tblGrid>
      <w:tr w:rsidR="00A62A3E">
        <w:trPr>
          <w:jc w:val="center"/>
        </w:trPr>
        <w:tc>
          <w:tcPr>
            <w:tcW w:w="10468" w:type="dxa"/>
            <w:tcBorders>
              <w:top w:val="single" w:sz="8" w:space="0" w:color="E8C877"/>
              <w:left w:val="single" w:sz="8" w:space="0" w:color="E8C877"/>
              <w:bottom w:val="single" w:sz="8" w:space="0" w:color="E8C877"/>
              <w:right w:val="single" w:sz="8" w:space="0" w:color="E8C877"/>
            </w:tcBorders>
            <w:shd w:val="clear" w:color="auto" w:fill="FFF8E6"/>
            <w:tcMar>
              <w:top w:w="70" w:type="dxa"/>
              <w:left w:w="90" w:type="dxa"/>
              <w:bottom w:w="70" w:type="dxa"/>
              <w:right w:w="90" w:type="dxa"/>
            </w:tcMar>
          </w:tcPr>
          <w:p w:rsidR="00A62A3E" w:rsidRDefault="00000000">
            <w:pPr>
              <w:keepNext/>
              <w:spacing w:after="40"/>
            </w:pPr>
            <w:r>
              <w:rPr>
                <w:b/>
                <w:color w:val="94670A"/>
                <w:sz w:val="17"/>
              </w:rPr>
              <w:t>THE MRD'S OPEN ITEM AGAINST THIS MODULE APPEARS CLOSED</w:t>
            </w:r>
          </w:p>
          <w:p w:rsidR="00A62A3E" w:rsidRDefault="00000000">
            <w:pPr>
              <w:spacing w:after="20"/>
              <w:ind w:left="86" w:hanging="86"/>
            </w:pPr>
            <w:r>
              <w:rPr>
                <w:sz w:val="16"/>
              </w:rPr>
              <w:t xml:space="preserve">• MRD v2.9.1 still carries ‘complete vendor-prepayment accounting and clearing before advance-payment scenarios are treated as finished’ against Module 21.</w:t>
            </w:r>
          </w:p>
          <w:p w:rsidR="00A62A3E" w:rsidRDefault="00000000">
            <w:pPr>
              <w:spacing w:after="20"/>
              <w:ind w:left="86" w:hanging="86"/>
            </w:pPr>
            <w:r>
              <w:rPr>
                <w:sz w:val="16"/>
              </w:rPr>
              <w:t xml:space="preserve">• The evidence says otherwise: the payment debit is split at source between accounts payable and the vendor-advance asset, applying an advance to a later bill reclassifies it on the later of the two dates, and the drawdown is exposed on the allocation endpoint. The MRD's own v2.7 change log records the drawdown as delivered.</w:t>
            </w:r>
          </w:p>
          <w:p w:rsidR="00A62A3E" w:rsidRDefault="00000000">
            <w:pPr>
              <w:spacing w:after="20"/>
              <w:ind w:left="86" w:hanging="86"/>
            </w:pPr>
            <w:r>
              <w:rPr>
                <w:sz w:val="16"/>
              </w:rPr>
              <w:t xml:space="preserve">• Required completion: clear the item from Module 21 in the next MRD revision, or state what about it remains open. It is recorded here as implemented because that is what the code shows.</w:t>
            </w:r>
          </w:p>
        </w:tc>
      </w:tr>
    </w:tbl>
    <w:p w:rsidR="00A62A3E" w:rsidRDefault="00000000">
      <w:pPr>
        <w:spacing w:after="0"/>
      </w:pPr>
    </w:p>
    <w:tbl>
      <w:tblPr>
        <w:tblW w:w="10468" w:type="dxa"/>
        <w:jc w:val="center"/>
        <w:tblLayout w:type="fixed"/>
        <w:tblLook w:val="04A0" w:firstRow="1" w:lastRow="0" w:firstColumn="1" w:lastColumn="0" w:noHBand="0" w:noVBand="1"/>
      </w:tblPr>
      <w:tblGrid>
        <w:gridCol w:w="10468"/>
      </w:tblGrid>
      <w:tr w:rsidR="00A62A3E">
        <w:trPr>
          <w:jc w:val="center"/>
        </w:trPr>
        <w:tc>
          <w:tcPr>
            <w:tcW w:w="10468" w:type="dxa"/>
            <w:tcBorders>
              <w:top w:val="single" w:sz="8" w:space="0" w:color="E8C877"/>
              <w:left w:val="single" w:sz="8" w:space="0" w:color="E8C877"/>
              <w:bottom w:val="single" w:sz="8" w:space="0" w:color="E8C877"/>
              <w:right w:val="single" w:sz="8" w:space="0" w:color="E8C877"/>
            </w:tcBorders>
            <w:shd w:val="clear" w:color="auto" w:fill="FFF8E6"/>
            <w:tcMar>
              <w:top w:w="70" w:type="dxa"/>
              <w:left w:w="90" w:type="dxa"/>
              <w:bottom w:w="70" w:type="dxa"/>
              <w:right w:w="90" w:type="dxa"/>
            </w:tcMar>
          </w:tcPr>
          <w:p w:rsidR="00A62A3E" w:rsidRDefault="00000000">
            <w:pPr>
              <w:keepNext/>
              <w:spacing w:after="40"/>
            </w:pPr>
            <w:r>
              <w:rPr>
                <w:b/>
                <w:color w:val="94670A"/>
                <w:sz w:val="17"/>
              </w:rPr>
              <w:t>FURTHER GAPS</w:t>
            </w:r>
          </w:p>
          <w:p w:rsidR="00A62A3E" w:rsidRDefault="00000000">
            <w:pPr>
              <w:spacing w:after="20"/>
              <w:ind w:left="86" w:hanging="86"/>
            </w:pPr>
            <w:r>
              <w:rPr>
                <w:sz w:val="16"/>
              </w:rPr>
              <w:t xml:space="preserve">• Duplicate detection is only as wide as the constraint. A supplier entered under a genuinely different name and code is not caught, and nothing reconciles two records that turn out to be one.</w:t>
            </w:r>
          </w:p>
          <w:p w:rsidR="00A62A3E" w:rsidRDefault="00000000">
            <w:pPr>
              <w:spacing w:after="20"/>
              <w:ind w:left="86" w:hanging="86"/>
            </w:pPr>
            <w:r>
              <w:rPr>
                <w:sz w:val="16"/>
              </w:rPr>
              <w:t xml:space="preserve">• The renewals list must be opened to be useful; nothing in this module pushes a warning on a schedule.</w:t>
            </w:r>
          </w:p>
          <w:p w:rsidR="00A62A3E" w:rsidRDefault="00000000">
            <w:pPr>
              <w:spacing w:after="20"/>
              <w:ind w:left="86" w:hanging="86"/>
            </w:pPr>
            <w:r>
              <w:rPr>
                <w:sz w:val="16"/>
              </w:rPr>
              <w:t xml:space="preserve">• A contract's value is a commercial commitment with no ledger effect, so nothing prevents spend beyond it.</w:t>
            </w:r>
          </w:p>
          <w:p w:rsidR="00A62A3E" w:rsidRDefault="00000000">
            <w:pPr>
              <w:spacing w:after="20"/>
              <w:ind w:left="86" w:hanging="86"/>
            </w:pPr>
            <w:r>
              <w:rPr>
                <w:sz w:val="16"/>
              </w:rPr>
              <w:t xml:space="preserve">• Vendor assessments are recorded but nothing requires one before an award, so the scorecard informs rather than gates.</w:t>
            </w:r>
          </w:p>
        </w:tc>
      </w:tr>
    </w:tbl>
    <w:p w:rsidR="00A62A3E" w:rsidRDefault="00000000">
      <w:pPr>
        <w:pStyle w:val="Heading1"/>
        <w:keepNext/>
        <w:pBdr>
          <w:bottom w:val="single" w:sz="14" w:space="5" w:color="355B9D"/>
        </w:pBdr>
      </w:pPr>
      <w:r>
        <w:t>10. MRD Traceability</w:t>
      </w:r>
    </w:p>
    <w:p w:rsidR="00A62A3E" w:rsidRDefault="00000000">
      <w:pPr>
        <w:spacing w:after="120"/>
      </w:pPr>
      <w:r>
        <w:t xml:space="preserve">Module 21 carries 13 capability entries in MRD v2.9.1. Each maps to the requirements below.</w:t>
      </w:r>
    </w:p>
    <w:tbl>
      <w:tblPr>
        <w:tblW w:w="10468" w:type="dxa"/>
        <w:jc w:val="center"/>
        <w:tblLayout w:type="fixed"/>
        <w:tblLook w:val="04A0" w:firstRow="1" w:lastRow="0" w:firstColumn="1" w:lastColumn="0" w:noHBand="0" w:noVBand="1"/>
      </w:tblPr>
      <w:tblGrid>
        <w:gridCol w:w="6000"/>
        <w:gridCol w:w="4468"/>
      </w:tblGrid>
      <w:tr w:rsidR="00A62A3E">
        <w:trPr>
          <w:tblHeader/>
          <w:jc w:val="center"/>
        </w:trPr>
        <w:tc>
          <w:tcPr>
            <w:tcW w:w="6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MRD capability</w:t>
            </w:r>
          </w:p>
        </w:tc>
        <w:tc>
          <w:tcPr>
            <w:tcW w:w="4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Requirements</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Vendor categories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FR-001</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Vendor profile and status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FR-002</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Vendor contacts and bank details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FR-002</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KYC and risk indicators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FR-004</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Vendor hold controls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FR-004</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Duplicate-vendor detection</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FR-003</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Vendor catalogue items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FR-005</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Contracts and contract milestones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FR-006</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Contract renewal and termination</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FR-006, FR-007</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Vendor assessments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FR-008</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Vendor spend insights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FR-009</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Vendor payment-status visibility</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FR-009, FR-010</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Vendor audit history</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FR-001, FR-006</w:t>
            </w:r>
          </w:p>
        </w:tc>
      </w:tr>
    </w:tbl>
    <w:p w:rsidR="00A62A3E" w:rsidRDefault="00000000">
      <w:pPr>
        <w:pStyle w:val="Heading1"/>
        <w:keepNext/>
        <w:pBdr>
          <w:bottom w:val="single" w:sz="14" w:space="5" w:color="355B9D"/>
        </w:pBdr>
      </w:pPr>
      <w:r>
        <w:t>11. Change Log</w:t>
      </w:r>
    </w:p>
    <w:tbl>
      <w:tblPr>
        <w:tblW w:w="10468" w:type="dxa"/>
        <w:jc w:val="center"/>
        <w:tblLayout w:type="fixed"/>
        <w:tblLook w:val="04A0" w:firstRow="1" w:lastRow="0" w:firstColumn="1" w:lastColumn="0" w:noHBand="0" w:noVBand="1"/>
      </w:tblPr>
      <w:tblGrid>
        <w:gridCol w:w="1200"/>
        <w:gridCol w:w="1600"/>
        <w:gridCol w:w="7668"/>
      </w:tblGrid>
      <w:tr w:rsidR="00A62A3E">
        <w:trPr>
          <w:tblHeader/>
          <w:jc w:val="center"/>
        </w:trPr>
        <w:tc>
          <w:tcPr>
            <w:tcW w:w="1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Version</w:t>
            </w:r>
          </w:p>
        </w:tc>
        <w:tc>
          <w:tcPr>
            <w:tcW w:w="1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Date</w:t>
            </w:r>
          </w:p>
        </w:tc>
        <w:tc>
          <w:tcPr>
            <w:tcW w:w="76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Summary</w:t>
            </w:r>
          </w:p>
        </w:tc>
      </w:tr>
      <w:tr w:rsidR="00A62A3E">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1.0</w:t>
            </w:r>
          </w:p>
        </w:tc>
        <w:tc>
          <w:tcPr>
            <w:tcW w:w="1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13 Aug 2026</w:t>
            </w:r>
          </w:p>
        </w:tc>
        <w:tc>
          <w:tcPr>
            <w:tcW w:w="7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First functional baseline for Module 21, written against the backend at 3ba18f8. Records master data that snapshots into documents rather than being referenced live, field-level protection of bank and tax detail on both read and write, the constraint-backed duplicate guard, the hold and KYC gates enforced in the payables service, the contract state machine, immutable assessments, and the vendor-advance split that the MRD still carries as an open item.</w:t>
            </w:r>
          </w:p>
        </w:tc>
      </w:tr>
    </w:tbl>
    <w:sectPr w:rsidR="009D0EA2">
      <w:headerReference w:type="even" r:id="rId7"/>
      <w:headerReference w:type="default" r:id="rId8"/>
      <w:footerReference w:type="default" r:id="rId9"/>
      <w:headerReference w:type="first" r:id="rId10"/>
      <w:pgSz w:w="11906" w:h="16838"/>
      <w:pgMar w:top="1080" w:right="720" w:bottom="893" w:left="720" w:header="560" w:footer="560" w:gutter="0"/>
      <w:pgBorders w:offsetFrom="page">
        <w:left w:val="dotted" w:sz="4" w:space="24" w:color="auto"/>
        <w:right w:val="dotted"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8E21791" w14:textId="77777777" w:rsidR="009D0EA2" w:rsidRDefault="009D0EA2">
      <w:r>
        <w:separator/>
      </w:r>
    </w:p>
  </w:endnote>
  <w:endnote w:type="continuationSeparator" w:id="0">
    <w:p w14:paraId="5455C193" w14:textId="77777777" w:rsidR="009D0EA2" w:rsidRDefault="009D0E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26574D" w14:textId="77777777" w:rsidR="00B06F99" w:rsidRDefault="00000000">
    <w:pPr>
      <w:pBdr>
        <w:top w:val="single" w:sz="6" w:space="4" w:color="BFBFBF"/>
      </w:pBdr>
      <w:jc w:val="right"/>
    </w:pPr>
    <w:r>
      <w:rPr>
        <w:color w:val="5A6472"/>
        <w:szCs w:val="18"/>
      </w:rPr>
      <w:fldChar w:fldCharType="begin"/>
    </w:r>
    <w:r>
      <w:rPr>
        <w:color w:val="5A6472"/>
        <w:szCs w:val="18"/>
      </w:rPr>
      <w:instrText>PAGE</w:instrText>
    </w:r>
    <w:r>
      <w:rPr>
        <w:color w:val="5A6472"/>
        <w:szCs w:val="18"/>
      </w:rPr>
      <w:fldChar w:fldCharType="separate"/>
    </w:r>
    <w:r w:rsidR="008F44EE">
      <w:rPr>
        <w:noProof/>
        <w:color w:val="5A6472"/>
        <w:szCs w:val="18"/>
      </w:rPr>
      <w:t>3</w:t>
    </w:r>
    <w:r>
      <w:rPr>
        <w:color w:val="5A6472"/>
        <w:szCs w:val="18"/>
      </w:rPr>
      <w:fldChar w:fldCharType="end"/>
    </w:r>
    <w:r>
      <w:rPr>
        <w:color w:val="5A6472"/>
        <w:szCs w:val="18"/>
      </w:rPr>
      <w:t xml:space="preserve"> | P a g 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7D756A4" w14:textId="77777777" w:rsidR="009D0EA2" w:rsidRDefault="009D0EA2">
      <w:r>
        <w:separator/>
      </w:r>
    </w:p>
  </w:footnote>
  <w:footnote w:type="continuationSeparator" w:id="0">
    <w:p w14:paraId="4F82DB6D" w14:textId="77777777" w:rsidR="009D0EA2" w:rsidRDefault="009D0E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EC25A3" w14:textId="77777777" w:rsidR="00B06F99" w:rsidRDefault="00000000">
    <w:pPr>
      <w:pBdr>
        <w:bottom w:val="single" w:sz="12" w:space="5" w:color="355B9D"/>
      </w:pBdr>
      <w:tabs>
        <w:tab w:val="right" w:pos="10466"/>
      </w:tabs>
      <w:spacing w:after="0"/>
    </w:pPr>
    <w:r>
      <w:rPr>
        <w:rFonts w:eastAsia="Aptos Narrow" w:cs="Aptos Narrow"/>
        <w:color w:val="355B9D"/>
        <w:sz w:val="17"/>
        <w:szCs w:val="18"/>
      </w:rPr>
      <w:t>CodeX | Vendor Management | Functional Requirements Document (FRD)</w:t>
    </w:r>
    <w:r>
      <w:tab/>
    </w:r>
    <w:r>
      <w:rPr>
        <w:noProof/>
      </w:rPr>
      <w:drawing>
        <wp:inline distT="0" distB="0" distL="0" distR="0" wp14:anchorId="472627C1" wp14:editId="1DCFDFCC">
          <wp:extent cx="247650" cy="209550"/>
          <wp:effectExtent l="0" t="0" r="0" b="0"/>
          <wp:docPr id="1359901648"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47650" cy="209550"/>
                  </a:xfrm>
                  <a:prstGeom prst="rect">
                    <a:avLst/>
                  </a:prstGeom>
                </pic:spPr>
              </pic:pic>
            </a:graphicData>
          </a:graphic>
        </wp:inline>
      </w:drawing>
    </w:r>
    <w:r>
      <w:rPr>
        <w:noProof/>
      </w:rPr>
      <w:drawing>
        <wp:anchor distT="0" distB="0" distL="0" distR="0" simplePos="0" relativeHeight="251657728" behindDoc="1" locked="0" layoutInCell="1" allowOverlap="1" wp14:anchorId="4AC94FEE" wp14:editId="280C277E">
          <wp:simplePos x="0" y="0"/>
          <wp:positionH relativeFrom="page">
            <wp:align>center</wp:align>
          </wp:positionH>
          <wp:positionV relativeFrom="page">
            <wp:align>center</wp:align>
          </wp:positionV>
          <wp:extent cx="2857500" cy="2381250"/>
          <wp:effectExtent l="0" t="0" r="0" b="0"/>
          <wp:wrapNone/>
          <wp:docPr id="2012909521"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857500" cy="238125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2B8AC7" w14:textId="77777777" w:rsidR="00B06F99" w:rsidRDefault="004B4937">
    <w:pPr>
      <w:pBdr>
        <w:bottom w:val="single" w:sz="12" w:space="5" w:color="355B9D"/>
      </w:pBdr>
      <w:tabs>
        <w:tab w:val="right" w:pos="10466"/>
      </w:tabs>
      <w:spacing w:after="0"/>
    </w:pPr>
    <w:r>
      <w:rPr>
        <w:noProof/>
      </w:rPr>
      <w:drawing>
        <wp:anchor distT="0" distB="0" distL="0" distR="0" simplePos="0" relativeHeight="251656704" behindDoc="1" locked="0" layoutInCell="1" allowOverlap="1" wp14:anchorId="222F5D53" wp14:editId="4D33728D">
          <wp:simplePos x="0" y="0"/>
          <wp:positionH relativeFrom="page">
            <wp:posOffset>1380598</wp:posOffset>
          </wp:positionH>
          <wp:positionV relativeFrom="page">
            <wp:posOffset>3939850</wp:posOffset>
          </wp:positionV>
          <wp:extent cx="4710275" cy="3925229"/>
          <wp:effectExtent l="0" t="0" r="0" b="0"/>
          <wp:wrapNone/>
          <wp:docPr id="1544077136"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710275" cy="3925229"/>
                  </a:xfrm>
                  <a:prstGeom prst="rect">
                    <a:avLst/>
                  </a:prstGeom>
                </pic:spPr>
              </pic:pic>
            </a:graphicData>
          </a:graphic>
          <wp14:sizeRelH relativeFrom="margin">
            <wp14:pctWidth>0</wp14:pctWidth>
          </wp14:sizeRelH>
          <wp14:sizeRelV relativeFrom="margin">
            <wp14:pctHeight>0</wp14:pctHeight>
          </wp14:sizeRelV>
        </wp:anchor>
      </w:drawing>
    </w:r>
    <w:r>
      <w:rPr>
        <w:rFonts w:eastAsia="Aptos Narrow" w:cs="Aptos Narrow"/>
        <w:color w:val="355B9D"/>
        <w:sz w:val="17"/>
        <w:szCs w:val="18"/>
      </w:rPr>
      <w:t>CodeX | Vendor Management | Functional Requirements Document (FRD)</w:t>
    </w:r>
    <w:r>
      <w:tab/>
    </w:r>
    <w:r>
      <w:rPr>
        <w:noProof/>
      </w:rPr>
      <w:drawing>
        <wp:inline distT="0" distB="0" distL="0" distR="0" wp14:anchorId="7553D1EE" wp14:editId="7028B3F0">
          <wp:extent cx="247650" cy="209550"/>
          <wp:effectExtent l="0" t="0" r="0" b="0"/>
          <wp:docPr id="1863547200"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47650" cy="2095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EC6DD7" w14:textId="77777777" w:rsidR="00B06F99" w:rsidRDefault="00000000">
    <w:r>
      <w:rPr>
        <w:noProof/>
      </w:rPr>
      <w:drawing>
        <wp:anchor distT="0" distB="0" distL="0" distR="0" simplePos="0" relativeHeight="251658752" behindDoc="1" locked="0" layoutInCell="1" allowOverlap="1" wp14:anchorId="60548E07" wp14:editId="26D99E2D">
          <wp:simplePos x="0" y="0"/>
          <wp:positionH relativeFrom="page">
            <wp:posOffset>0</wp:posOffset>
          </wp:positionH>
          <wp:positionV relativeFrom="page">
            <wp:posOffset>0</wp:posOffset>
          </wp:positionV>
          <wp:extent cx="7562850" cy="10696575"/>
          <wp:effectExtent l="0" t="0" r="0" b="0"/>
          <wp:wrapNone/>
          <wp:docPr id="848969519" name="cover" descr="cityscape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204F5E"/>
    <w:multiLevelType w:val="hybridMultilevel"/>
    <w:tmpl w:val="16E4A6B2"/>
    <w:lvl w:ilvl="0" w:tplc="6E0424D6">
      <w:start w:val="1"/>
      <w:numFmt w:val="bullet"/>
      <w:lvlText w:val="•"/>
      <w:lvlJc w:val="left"/>
      <w:pPr>
        <w:ind w:left="460" w:hanging="260"/>
      </w:pPr>
      <w:rPr>
        <w:color w:val="4472C4"/>
      </w:rPr>
    </w:lvl>
    <w:lvl w:ilvl="1" w:tplc="722EB47C">
      <w:numFmt w:val="decimal"/>
      <w:lvlText w:val=""/>
      <w:lvlJc w:val="left"/>
    </w:lvl>
    <w:lvl w:ilvl="2" w:tplc="927ACA02">
      <w:numFmt w:val="decimal"/>
      <w:lvlText w:val=""/>
      <w:lvlJc w:val="left"/>
    </w:lvl>
    <w:lvl w:ilvl="3" w:tplc="2E525AA0">
      <w:numFmt w:val="decimal"/>
      <w:lvlText w:val=""/>
      <w:lvlJc w:val="left"/>
    </w:lvl>
    <w:lvl w:ilvl="4" w:tplc="401604F2">
      <w:numFmt w:val="decimal"/>
      <w:lvlText w:val=""/>
      <w:lvlJc w:val="left"/>
    </w:lvl>
    <w:lvl w:ilvl="5" w:tplc="1E0E7D50">
      <w:numFmt w:val="decimal"/>
      <w:lvlText w:val=""/>
      <w:lvlJc w:val="left"/>
    </w:lvl>
    <w:lvl w:ilvl="6" w:tplc="F9C240A4">
      <w:numFmt w:val="decimal"/>
      <w:lvlText w:val=""/>
      <w:lvlJc w:val="left"/>
    </w:lvl>
    <w:lvl w:ilvl="7" w:tplc="55AC28D6">
      <w:numFmt w:val="decimal"/>
      <w:lvlText w:val=""/>
      <w:lvlJc w:val="left"/>
    </w:lvl>
    <w:lvl w:ilvl="8" w:tplc="02C0F3A8">
      <w:numFmt w:val="decimal"/>
      <w:lvlText w:val=""/>
      <w:lvlJc w:val="left"/>
    </w:lvl>
  </w:abstractNum>
  <w:abstractNum w:abstractNumId="1" w15:restartNumberingAfterBreak="0">
    <w:nsid w:val="7D452660"/>
    <w:multiLevelType w:val="hybridMultilevel"/>
    <w:tmpl w:val="F7FC3EB2"/>
    <w:lvl w:ilvl="0" w:tplc="997A7784">
      <w:start w:val="1"/>
      <w:numFmt w:val="bullet"/>
      <w:lvlText w:val="●"/>
      <w:lvlJc w:val="left"/>
      <w:pPr>
        <w:ind w:left="720" w:hanging="360"/>
      </w:pPr>
    </w:lvl>
    <w:lvl w:ilvl="1" w:tplc="8818974E">
      <w:start w:val="1"/>
      <w:numFmt w:val="bullet"/>
      <w:lvlText w:val="○"/>
      <w:lvlJc w:val="left"/>
      <w:pPr>
        <w:ind w:left="1440" w:hanging="360"/>
      </w:pPr>
    </w:lvl>
    <w:lvl w:ilvl="2" w:tplc="382C4E56">
      <w:start w:val="1"/>
      <w:numFmt w:val="bullet"/>
      <w:lvlText w:val="■"/>
      <w:lvlJc w:val="left"/>
      <w:pPr>
        <w:ind w:left="2160" w:hanging="360"/>
      </w:pPr>
    </w:lvl>
    <w:lvl w:ilvl="3" w:tplc="AB381E2C">
      <w:start w:val="1"/>
      <w:numFmt w:val="bullet"/>
      <w:lvlText w:val="●"/>
      <w:lvlJc w:val="left"/>
      <w:pPr>
        <w:ind w:left="2880" w:hanging="360"/>
      </w:pPr>
    </w:lvl>
    <w:lvl w:ilvl="4" w:tplc="F2E6E986">
      <w:start w:val="1"/>
      <w:numFmt w:val="bullet"/>
      <w:lvlText w:val="○"/>
      <w:lvlJc w:val="left"/>
      <w:pPr>
        <w:ind w:left="3600" w:hanging="360"/>
      </w:pPr>
    </w:lvl>
    <w:lvl w:ilvl="5" w:tplc="3DF0A4E6">
      <w:start w:val="1"/>
      <w:numFmt w:val="bullet"/>
      <w:lvlText w:val="■"/>
      <w:lvlJc w:val="left"/>
      <w:pPr>
        <w:ind w:left="4320" w:hanging="360"/>
      </w:pPr>
    </w:lvl>
    <w:lvl w:ilvl="6" w:tplc="8D6AC05C">
      <w:start w:val="1"/>
      <w:numFmt w:val="bullet"/>
      <w:lvlText w:val="●"/>
      <w:lvlJc w:val="left"/>
      <w:pPr>
        <w:ind w:left="5040" w:hanging="360"/>
      </w:pPr>
    </w:lvl>
    <w:lvl w:ilvl="7" w:tplc="20F01714">
      <w:start w:val="1"/>
      <w:numFmt w:val="bullet"/>
      <w:lvlText w:val="●"/>
      <w:lvlJc w:val="left"/>
      <w:pPr>
        <w:ind w:left="5760" w:hanging="360"/>
      </w:pPr>
    </w:lvl>
    <w:lvl w:ilvl="8" w:tplc="AE7660C8">
      <w:start w:val="1"/>
      <w:numFmt w:val="bullet"/>
      <w:lvlText w:val="●"/>
      <w:lvlJc w:val="left"/>
      <w:pPr>
        <w:ind w:left="6480" w:hanging="360"/>
      </w:pPr>
    </w:lvl>
  </w:abstractNum>
  <w:num w:numId="1" w16cid:durableId="140753484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F99"/>
    <w:rsid w:val="000D42B9"/>
    <w:rsid w:val="000E3B70"/>
    <w:rsid w:val="00115784"/>
    <w:rsid w:val="00140AC7"/>
    <w:rsid w:val="00181B60"/>
    <w:rsid w:val="002E2222"/>
    <w:rsid w:val="00472341"/>
    <w:rsid w:val="00483C9E"/>
    <w:rsid w:val="00491325"/>
    <w:rsid w:val="004B4937"/>
    <w:rsid w:val="00603681"/>
    <w:rsid w:val="006B3CEE"/>
    <w:rsid w:val="008F44EE"/>
    <w:rsid w:val="009D0EA2"/>
    <w:rsid w:val="00A62A3E"/>
    <w:rsid w:val="00B06F99"/>
    <w:rsid w:val="00BC5CB6"/>
    <w:rsid w:val="00BD37DE"/>
    <w:rsid w:val="00C24B07"/>
    <w:rsid w:val="00CF0ADF"/>
    <w:rsid w:val="00D11A40"/>
    <w:rsid w:val="00DF3480"/>
    <w:rsid w:val="00DF58C5"/>
    <w:rsid w:val="00E02108"/>
    <w:rsid w:val="00E51340"/>
    <w:rsid w:val="00E62093"/>
    <w:rsid w:val="00E73CFF"/>
    <w:rsid w:val="00E748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FEB547"/>
  <w15:docId w15:val="{E19EA510-7BB3-A245-84A4-5CC32F08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pPr>
    <w:rPr>
      <w:rFonts w:ascii="Aptos Narrow" w:hAnsi="Aptos Narrow"/>
      <w:sz w:val="18"/>
    </w:rPr>
  </w:style>
  <w:style w:type="paragraph" w:styleId="Heading1">
    <w:name w:val="heading 1"/>
    <w:uiPriority w:val="9"/>
    <w:qFormat/>
    <w:pPr>
      <w:spacing w:before="300" w:after="160"/>
      <w:outlineLvl w:val="0"/>
    </w:pPr>
    <w:rPr>
      <w:rFonts w:ascii="Aptos Narrow" w:eastAsia="Aptos Narrow" w:hAnsi="Aptos Narrow" w:cs="Aptos Narrow"/>
      <w:b/>
      <w:bCs/>
      <w:color w:val="000000"/>
      <w:sz w:val="34"/>
      <w:szCs w:val="34"/>
    </w:rPr>
  </w:style>
  <w:style w:type="paragraph" w:styleId="Heading2">
    <w:name w:val="heading 2"/>
    <w:uiPriority w:val="9"/>
    <w:unhideWhenUsed/>
    <w:qFormat/>
    <w:pPr>
      <w:spacing w:before="220" w:after="120"/>
      <w:outlineLvl w:val="1"/>
    </w:pPr>
    <w:rPr>
      <w:rFonts w:ascii="Aptos Narrow" w:eastAsia="Aptos Narrow" w:hAnsi="Aptos Narrow" w:cs="Aptos Narrow"/>
      <w:b/>
      <w:bCs/>
      <w:color w:val="000000"/>
      <w:sz w:val="27"/>
      <w:szCs w:val="27"/>
    </w:rPr>
  </w:style>
  <w:style w:type="paragraph" w:styleId="Heading3">
    <w:name w:val="heading 3"/>
    <w:uiPriority w:val="9"/>
    <w:semiHidden/>
    <w:unhideWhenUsed/>
    <w:qFormat/>
    <w:pPr>
      <w:spacing w:before="160" w:after="80"/>
      <w:outlineLvl w:val="2"/>
    </w:pPr>
    <w:rPr>
      <w:rFonts w:ascii="Aptos Narrow" w:eastAsia="Aptos Narrow" w:hAnsi="Aptos Narrow" w:cs="Aptos Narrow"/>
      <w:b/>
      <w:bCs/>
      <w:color w:val="1F376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44EE"/>
    <w:pPr>
      <w:spacing w:after="100"/>
    </w:pPr>
  </w:style>
  <w:style w:type="paragraph" w:styleId="TOC2">
    <w:name w:val="toc 2"/>
    <w:basedOn w:val="Normal"/>
    <w:next w:val="Normal"/>
    <w:autoRedefine/>
    <w:uiPriority w:val="39"/>
    <w:unhideWhenUsed/>
    <w:rsid w:val="008F44EE"/>
    <w:pPr>
      <w:spacing w:after="100"/>
      <w:ind w:left="220"/>
    </w:pPr>
  </w:style>
  <w:style w:type="paragraph" w:styleId="Footer">
    <w:name w:val="footer"/>
    <w:basedOn w:val="Normal"/>
    <w:link w:val="FooterChar"/>
    <w:uiPriority w:val="99"/>
    <w:unhideWhenUsed/>
    <w:rsid w:val="004B4937"/>
    <w:pPr>
      <w:tabs>
        <w:tab w:val="center" w:pos="4680"/>
        <w:tab w:val="right" w:pos="9360"/>
      </w:tabs>
    </w:pPr>
  </w:style>
  <w:style w:type="character" w:customStyle="1" w:styleId="FooterChar">
    <w:name w:val="Footer Char"/>
    <w:basedOn w:val="DefaultParagraphFont"/>
    <w:link w:val="Footer"/>
    <w:uiPriority w:val="99"/>
    <w:rsid w:val="004B49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16</Pages>
  <Words>4601</Words>
  <Characters>26229</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School and Branch Management Functional Requirements Document v1.1</vt:lpstr>
    </vt:vector>
  </TitlesOfParts>
  <Company/>
  <LinksUpToDate>false</LinksUpToDate>
  <CharactersWithSpaces>30769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0/" xmlns:dcterms="http://purl.org/dc/terms/" xmlns:dcmitype="http://purl.org/dc/dcmitype/" xmlns:xsi="http://www.w3.org/2001/XMLSchema-instance">
  <dc:title>Workflow and Approval Engine Functional Requirements Document v1.0</dc:title>
  <dc:subject>Code-aligned functional requirements for XVS Module 1</dc:subject>
  <dc:creator>CodeX Team</dc:creator>
  <dc:description>Built from v2.2 visual template and reviewed against the current backend worktree.</dc:description>
  <cp:lastModifiedBy>Chidera Ohiaekpete</cp:lastModifiedBy>
  <cp:revision>6</cp:revision>
  <cp:lastPrinted>2026-07-17T18:03:00Z</cp:lastPrinted>
  <dcterms:created xsi:type="dcterms:W3CDTF">2026-07-17T18:03:00Z</dcterms:created>
  <dcterms:modified xsi:type="dcterms:W3CDTF">2026-08-11T15:03:00Z</dcterms:modified>
  <cp:version>1.0</cp:version>
</cp:coreProperties>
</file>