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20"/>
      </w:pPr>
      <w:r>
        <w:t xml:space="preserve">A school may or may not have branches, and both shapes must work. A requisition may carry a branch or none. A stage declared branch-scoped resolves approvers assigned at the document's branch plus those assigned tenant-wide; an entity-level request with no branch resolves tenant-wide approvers only. An approver appointed at one site is never routed another site's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procurement.competition.override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ensure_tenant_approval_templates publishes a tenant-scoped ladder per document type, non-destructively, and creates the approving roles without appointing anybody. ensure_default_approval_templates publishes the platform fallback.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after an administrator customised a ladder reports it and leaves it alone; only the platform row upserts. A tenant's template wins over the platform row through the engine's own cascade.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Onboarding does not call the seed; it remains an operator step.</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Appointing somebody to the approving role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coverage report projects two things the engine already owns: the template the engine would resolve for that scope through its own cascade, and the people, resolved through the engine's own role-holder lookup.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calls the same lookup routing calls, the report and live routing cannot disagree about who is eligible.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tokenised public form serves the RFQ, and the vendor requests and verifies an emailed code before the form opens. They can submit, revise, acknowledge, decline, and attach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routes are the only unauthenticated surface in the module and are scoped by the token to one invitation. Access is proved by possession of the token and the code, not by a session.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token is as strong as the mailbox it was sent to. There is no second factor beyond the emailed code.</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vendors respond on the tokenised form after verifying an emailed code. Invitations can be resent or extended.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Quotations are submitted, becoming firm offers, and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approving roles the seeded stages name and the keys the views enforce, including the two CRITICAL overrides.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reminders and the vendor verification code.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Budget availability is advisory. Nothing refuses an over-budget requisition at submission, so the check informs rather than controls.</w:t>
            </w:r>
          </w:p>
          <w:p w:rsidR="00A62A3E" w:rsidRDefault="00000000">
            <w:pPr>
              <w:spacing w:after="20"/>
              <w:ind w:left="86" w:hanging="86"/>
            </w:pPr>
            <w:r>
              <w:rPr>
                <w:sz w:val="16"/>
              </w:rPr>
              <w:t xml:space="preserve">• The competition minimum is enforced at issue only. Withdrawing invitations afterwards is not re-checked against it.</w:t>
            </w:r>
          </w:p>
          <w:p w:rsidR="00A62A3E" w:rsidRDefault="00000000">
            <w:pPr>
              <w:spacing w:after="20"/>
              <w:ind w:left="86" w:hanging="86"/>
            </w:pPr>
            <w:r>
              <w:rPr>
                <w:sz w:val="16"/>
              </w:rPr>
              <w:t xml:space="preserve">• The public vendor form is protected by a token plus an emailed code, so its security rests on the invited mailbox. There is no second factor.</w:t>
            </w:r>
          </w:p>
          <w:p w:rsidR="00A62A3E" w:rsidRDefault="00000000">
            <w:pPr>
              <w:spacing w:after="20"/>
              <w:ind w:left="86" w:hanging="86"/>
            </w:pPr>
            <w:r>
              <w:rPr>
                <w:sz w:val="16"/>
              </w:rPr>
              <w:t xml:space="preserve">• The parked-approval repair runs on read rather than on a schedule, so a parked requisition nobody opens stays parked.</w:t>
            </w:r>
          </w:p>
          <w:p w:rsidR="00A62A3E" w:rsidRDefault="00000000">
            <w:pPr>
              <w:spacing w:after="20"/>
              <w:ind w:left="86" w:hanging="86"/>
            </w:pPr>
            <w:r>
              <w:rPr>
                <w:sz w:val="16"/>
              </w:rPr>
              <w:t xml:space="preserve">• Coverage is reported on demand. Nothing schedules the check or warns an administrator that a branch has become unstaffable.</w:t>
            </w:r>
          </w:p>
          <w:p w:rsidR="00A62A3E" w:rsidRDefault="00000000">
            <w:pPr>
              <w:spacing w:after="20"/>
              <w:ind w:left="86" w:hanging="86"/>
            </w:pPr>
            <w:r>
              <w:rPr>
                <w:sz w:val="16"/>
              </w:rPr>
              <w:t xml:space="preserve">• Branch scoping across the wider procurement chain is still being finished, tracked against Modules 22 to 24.</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22 carries 13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0/"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