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Backend commit 73c46350, 13 September 2026</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XVS Module Requirements Document v2.80 | Module 30</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vs_health</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core, vs_tenants, vs_rbac, vs_user, vs_notifications, vs_config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Not owned here</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User authentication and permission vocabulary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Email transport and in-app inbox</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Background job business outcomes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Payment webhook authenticity or replay</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Frontend console implementation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uptime provider guarantees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configured network, SMTP, certificate, database, Redis, and HTTP targets.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three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82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healthy</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warning</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critical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unknown</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operational</w:t>
            </w:r>
          </w:p>
        </w:tc>
        <w:tc>
          <w:tcPr>
            <w:tcW w:type="dxa" w:w="82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v2.80.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46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May do</w:t>
            </w:r>
          </w:p>
        </w:tc>
        <w:tc>
          <w:tcPr>
            <w:tcW w:type="dxa" w:w="377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Gate or contract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health viewer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every Health analytics and detail surface.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health manager</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authentication plus platform.health.manage.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 middleware</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Celery beat and workers</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alarm recipient</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Receive in-app and email alarm records.</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Effective platform.health.manage grant on the platform tenant.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External dependency</w:t>
            </w:r>
          </w:p>
        </w:tc>
        <w:tc>
          <w:tcPr>
            <w:tcW w:type="dxa" w:w="460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Answer an HTTP, TCP, Redis, PostgreSQL, or TLS probe.</w:t>
            </w:r>
          </w:p>
        </w:tc>
        <w:tc>
          <w:tcPr>
            <w:tcW w:type="dxa" w:w="37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GET and list operations</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incident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incident event</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incident UUID</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or update alert rule</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Global rule registry</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deployment annotation</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Receive a fired Health alarm</w:t>
            </w:r>
          </w:p>
        </w:tc>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Effective platform.health.manage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Active platform-tenant recipients only</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platform.health.manage must receive both an in-app notification and an email record.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FR-014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Health view requires an active authenticated user and platform.health.view or platform.health.manage. requested_tenant resolves for_tenant separately from the authentication tenant parameter, rejects unknown targets, and analytics queries filter RequestMetric.</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50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What happens</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Safety rule</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w:t>
            </w:r>
          </w:p>
        </w:tc>
        <w:tc>
          <w:tcPr>
            <w:tcW w:type="dxa" w:w="50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Cadence</w:t>
            </w:r>
          </w:p>
        </w:tc>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Task</w:t>
            </w:r>
          </w:p>
        </w:tc>
        <w:tc>
          <w:tcPr>
            <w:tcW w:type="dxa" w:w="49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Outcome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Capture queue snapshot</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minute</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alert rules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five minutes</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uptime checks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Hourly at :15</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Roll up uptime</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Daily at 03:00</w:t>
            </w:r>
          </w:p>
        </w:tc>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Prune metrics</w:t>
            </w:r>
          </w:p>
        </w:tc>
        <w:tc>
          <w:tcPr>
            <w:tcW w:type="dxa" w:w="49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374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Evaluation</w:t>
            </w:r>
          </w:p>
        </w:tc>
        <w:tc>
          <w:tcPr>
            <w:tcW w:type="dxa" w:w="47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Effect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Current value does not breach or cannot be evaluated.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value crosses the comparator and threshold.</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Sustained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rule remains breaching for the full duration.</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First-fire delivery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active platform.health.manage holders.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retry</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SMTP delivery fails after the row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Repeated breach</w:t>
            </w:r>
          </w:p>
        </w:tc>
        <w:tc>
          <w:tcPr>
            <w:tcW w:type="dxa" w:w="37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firing alert still exists.</w:t>
            </w:r>
          </w:p>
        </w:tc>
        <w:tc>
          <w:tcPr>
            <w:tcW w:type="dxa" w:w="47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no duplicate incident or notification.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contract</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MonitoredService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operational registry and current state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RequestMetric</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Minute route/method/tenant request aggregate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UptimeCheck</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Recurring probe configuration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UptimeCheckResult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One normalized probe outcome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UptimeDailyRollup</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Long-window availability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QueueSnapshot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Point-in-time broker and worker evidence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Incident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Manual or automatic operational incident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UUID primary key and UUID-backed unique human code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IncidentEvent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Append-only incident timeline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AlertRule</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Firing or resolved instance of one rule breach</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Timeline annotation</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SLO</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Availability objective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1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/v1/health/overview/</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/v1/health/services/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/v1/health/services/{key}/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/v1/health/uptime/monitors/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/v1/health/uptime/monitors/{key}/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/v1/health/api-endpoints/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/v1/health/api-endpoints/detail/?route=</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/v1/health/queues/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/v1/health/tasks/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list filtered by state or severity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/v1/health/incidents/reliability/</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/v1/health/incidents/{id}/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/v1/health/alert-rules/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Configured alert rules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/v1/health/alert-rules/{id}/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alert rule</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/v1/health/tenants/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/v1/health/tenants/{tenant_id}/</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 /v1/health/deployments/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Deployment annotations</w:t>
            </w:r>
          </w:p>
        </w:tc>
      </w:tr>
      <w:tr>
        <w:trPr>
          <w:cantSplit/>
        </w:trPr>
        <w:tc>
          <w:tcPr>
            <w:tcW w:type="dxa" w:w="43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 /v1/health/slos/</w:t>
            </w:r>
          </w:p>
        </w:tc>
        <w:tc>
          <w:tcPr>
            <w:tcW w:type="dxa" w:w="61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endpoint</w:t>
            </w:r>
          </w:p>
        </w:tc>
        <w:tc>
          <w:tcPr>
            <w:tcW w:type="dxa" w:w="59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PUT/PATCH /v1/health/incidents/{id}/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/v1/health/incidents/{id}/events/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/v1/health/alert-rules/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PUT/PATCH /v1/health/alert-rules/{id}/</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 /v1/health/deployments/</w:t>
            </w:r>
          </w:p>
        </w:tc>
        <w:tc>
          <w:tcPr>
            <w:tcW w:type="dxa" w:w="59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Input</w:t>
            </w:r>
          </w:p>
        </w:tc>
        <w:tc>
          <w:tcPr>
            <w:tcW w:type="dxa" w:w="66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Failure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range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named window; unknown value falls back to 1h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No unbounded scan</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start and end</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Both valid, start before end, maximum 90 days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for_tenant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route</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when absent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service key</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Stable monitored-service key</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404 when absent</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alert request metric target</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Must exist in explicit request-route mapping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channel</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email_and_in_app</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400 on any other value</w:t>
            </w:r>
          </w:p>
        </w:tc>
      </w:tr>
      <w:tr>
        <w:trPr>
          <w:cantSplit/>
        </w:trPr>
        <w:tc>
          <w:tcPr>
            <w:tcW w:type="dxa" w:w="208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write permission</w:t>
            </w:r>
          </w:p>
        </w:tc>
        <w:tc>
          <w:tcPr>
            <w:tcW w:type="dxa" w:w="66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platform.health.manage on unsafe methods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5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Django middleware and resolver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PostgreSQL</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Celery beat and workers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Redis broker</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4 Roles &amp; Permissions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Publish platform.health.view/manage and resolve active alarm recipients from effective grants.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8 Notifications &amp; Delivery</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3 Identity &amp; Team</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6 Configuration</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External HTTP, TCP, SMTP, payment, and TLS targets</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core.BackgroundJob</w:t>
            </w:r>
          </w:p>
        </w:tc>
        <w:tc>
          <w:tcPr>
            <w:tcW w:type="dxa" w:w="75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platform.health.manage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shd w:fill="E4F3EA"/>
            <w:tcBorders>
              <w:top w:val="single" w:sz="9" w:color="1F7A4D"/>
              <w:left w:val="single" w:sz="9" w:color="1F7A4D"/>
              <w:bottom w:val="single" w:sz="9" w:color="1F7A4D"/>
              <w:right w:val="single" w:sz="9" w:color="1F7A4D"/>
              <w:insideH w:val="single" w:sz="9" w:color="1F7A4D"/>
              <w:insideV w:val="single" w:sz="9" w:color="1F7A4D"/>
            </w:tcBorders>
            <w:tcMar>
              <w:top w:w="100" w:type="dxa"/>
              <w:start w:w="120" w:type="dxa"/>
              <w:bottom w:w="100" w:type="dxa"/>
              <w:end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 The suite was not rerun for this documentation-only revision.</w:t>
            </w:r>
          </w:p>
          <w:p>
            <w:pPr>
              <w:spacing w:before="0" w:after="40" w:line="240" w:lineRule="auto"/>
              <w:numPr>
                <w:ilvl w:val="0"/>
                <w:numId w:val="1"/>
              </w:numPr>
            </w:pPr>
            <w:r>
              <w:rPr>
                <w:rFonts w:ascii="Aptos Narrow" w:hAnsi="Aptos Narrow"/>
                <w:b w:val="0"/>
                <w:color w:val="000000"/>
                <w:sz w:val="17"/>
              </w:rPr>
              <w:t>Module 30 suite: 37 tests passed, including collection, analytics, small-sample guards, sustained service-scoped alerting, delivery records, incident references, seeding, authentication, and tenant filters.</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7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rPr>
          <w:cantSplit/>
        </w:trP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Unsupported 100 percent uptime claim</w:t>
            </w:r>
          </w:p>
        </w:tc>
        <w:tc>
          <w:tcPr>
            <w:tcW w:type="dxa" w:w="57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this item only after the implementation returns an honest no-data state and the relevant monitor and SLO tests pass.</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v2.80. Each maps to the controlling requirements below.</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30 capability</w:t>
            </w:r>
          </w:p>
        </w:tc>
        <w:tc>
          <w:tcPr>
            <w:tcW w:type="dxa" w:w="30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c>
          <w:tcPr>
            <w:tcW w:type="dxa" w:w="25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System-health overview</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FR-001, FR-003, FR-005, FR-007, FR-008,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 status and history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FR-001, FR-004, 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Uptime indicators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SSL status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Tenant-filterable API request analytics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Queue and task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FR-007</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FR-009, FR-010, FR-011, FR-012,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Incident records and events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FR-008, FR-011, FR-013</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Reliability summaries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FR-008, FR-013, 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Tenant health</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 FR-003, FR-004, FR-015</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Deployment visibility</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FR-014</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Implemented</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Service-level objective tracking</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FR-005, FR-006</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Unauthenticated provider-webhook operations</w:t>
            </w:r>
          </w:p>
        </w:tc>
        <w:tc>
          <w:tcPr>
            <w:tcW w:type="dxa" w:w="30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c>
          <w:tcPr>
            <w:tcW w:type="dxa" w:w="25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cp:version>
  <dc:title>XVS M30 System Health and Monitoring Functional Requirements Document v1.1</dc:title>
  <dc:subject>Code-aligned functional requirements for XVS Module 30</dc:subject>
  <dc:creator>CodeX Team</dc:creator>
</cp:coreProperties>
</file>