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2.80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13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Notification identity, record destinations and server-side read acknowledgement at backend 73c46350; console ff84fc4 and school app 448cac2 as committed consumer evidence, 13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000000"/>
                <w:sz w:val="18"/>
              </w:rPr>
              <w:t>5. v2.80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Notification identity, record destinations, and the read that closes them</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27</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on a workflow ladder, which the requester may decide themselves where the school has nobody else on the stage, recorded as self-approved.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color w:val="2E5495"/>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p w14:paraId="7CDC09B0" w14:textId="77777777" w:rsidR="00472341" w:rsidRDefault="00000000">
            <w:pPr>
              <w:spacing w:after="60" w:before="0" w:line="240" w:lineRule="auto"/>
            </w:pPr>
            <w:r>
              <w:rPr>
                <w:rFonts w:ascii="Aptos Narrow" w:hAnsi="Aptos Narrow"/>
                <w:b w:val="0"/>
                <w:color w:val="000000"/>
                <w:sz w:val="16"/>
              </w:rPr>
              <w:t>▸  Named Dynamic Roles reading the document and who raised it</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232 staff tests. Documented by M12 FRD v2.5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manage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v2.80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one notification contract across the modules that own the records a message names. Every in-app template has a useful title; one destination table drives both links and acknowledgement; and a successful scoped record read clears only the caller's matching unread rows. Module indexes clear nothing. Export results use the definition or dataset people recognize, and the badge receives the live unread total. No capability is added, so the platform remains at 502 entries.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v2.80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In-app identity</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event has its own title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Migration 0018 fills 41 blank subjects, preserves staff edits, and feed serialization falls back to the event label for any blank subject.</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destinations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table drives links and clears</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workflow, export and import record families share action and acknowledgement rules. /finance matches the "billing." and "payments." prefixes; module indexes remain destinations only and clear nothing.</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 reads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reads acknowledge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 run detail and permitted download, ticket, workflow, import and health detail, and ToDo read or toggle clear only the caller's matching unread in-app rows.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result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what people recognize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saved definition wins, a quick run uses its dataset, a repeated export suffix is removed, and the run reference is the fallback.</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Badge contract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the live unread total</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/v1/notify/acknowledge-route/ returns {updated_count, unread_count}, so a consumer does not infer the badge after a record read has already cleared rows.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limits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Manual and API-only paths stay visible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Recordless notices need a manual inbox action. Health and ToDo have no dedicated frontend detail page. Import and account-lock event keys remain inactive.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FRDs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Six revised; one remains missing</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M07 v1.13, M08 v1.11, M10 v1.4, M26 v1.1, M30 v1.1 and M31 v1.8. No Module 29 ToDo FRD exists, so none is created.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2.80</cp:version>
</cp:coreProperties>
</file>