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30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centralising tenant lifecycle transitions and transactional impersonation-session shutdown. Verified with 308 schools.vs_schools tests, 165 vs_admin_console tests, and 58 onboarding lifecycle tests on 30 August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v2.50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Tenant shutdown now ends proxy access permanently and transactionally</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v2.50 Capability Delta</w:t>
      </w:r>
    </w:p>
    <w:p w14:paraId="4C4A5E5A" w14:textId="77777777" w:rsidR="00472341" w:rsidRDefault="00000000">
      <w:pPr>
        <w:spacing w:after="100" w:line="240" w:lineRule="auto" w:before="0"/>
      </w:pPr>
      <w:r>
        <w:rPr>
          <w:rFonts w:ascii="Aptos Narrow" w:hAnsi="Aptos Narrow"/>
          <w:b w:val="0"/>
          <w:color w:val="000000"/>
          <w:sz w:val="18"/>
        </w:rPr>
        <w:t>This revision closes the proxy-session revival path in School and onboarding lifecycle changes. Tenant status and impersonation shutdown now share one locked transaction, and session creation takes the same lock so a concurrent start cannot land after the shutdown query.</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v2.50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status authority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Centralised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mirroring, onboarding expiry, and orphaned-School reinstatement all call one transition service instead of depending on Tenant post-save signals.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Proxy shutdown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Transactional</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Tenant status write and bulk end of active impersonation sessions share one transaction and roll back together on failure.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Reactivation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Fail 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ended session is not reopened when the Tenant returns to ACTIVE. Reusing its header answers 401 and requires a new justified session.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Concurrent start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Serialised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Session start and Tenant transition lock the same Tenant row. A start either completes first and is ended by shutdown, or observes the new status and is refused.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